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olor w:val="000000"/>
          <w:sz w:val="36"/>
          <w:szCs w:val="36"/>
        </w:rPr>
      </w:pPr>
      <w:r>
        <w:rPr>
          <w:rFonts w:hint="eastAsia" w:ascii="方正小标宋简体" w:hAnsi="仿宋" w:eastAsia="方正小标宋简体" w:cs="方正小标宋简体"/>
          <w:color w:val="000000"/>
          <w:sz w:val="36"/>
          <w:szCs w:val="36"/>
        </w:rPr>
        <w:t>宝鸡高新区市场监管领域联合随机抽查事项清单（</w:t>
      </w:r>
      <w:r>
        <w:rPr>
          <w:rFonts w:hint="eastAsia" w:ascii="方正小标宋简体" w:hAnsi="仿宋" w:eastAsia="方正小标宋简体" w:cs="方正小标宋简体"/>
          <w:color w:val="000000"/>
          <w:sz w:val="36"/>
          <w:szCs w:val="36"/>
          <w:lang w:eastAsia="zh-CN"/>
        </w:rPr>
        <w:t>第一版</w:t>
      </w:r>
      <w:r>
        <w:rPr>
          <w:rFonts w:hint="eastAsia" w:ascii="方正小标宋简体" w:hAnsi="仿宋" w:eastAsia="方正小标宋简体" w:cs="方正小标宋简体"/>
          <w:color w:val="000000"/>
          <w:sz w:val="36"/>
          <w:szCs w:val="36"/>
        </w:rPr>
        <w:t>）</w:t>
      </w:r>
    </w:p>
    <w:tbl>
      <w:tblPr>
        <w:tblStyle w:val="6"/>
        <w:tblW w:w="1496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228"/>
        <w:gridCol w:w="3568"/>
        <w:gridCol w:w="1283"/>
        <w:gridCol w:w="1283"/>
        <w:gridCol w:w="1267"/>
        <w:gridCol w:w="4407"/>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702" w:type="dxa"/>
            <w:vAlign w:val="center"/>
          </w:tcPr>
          <w:p>
            <w:pPr>
              <w:kinsoku w:val="0"/>
              <w:overflowPunct w:val="0"/>
              <w:autoSpaceDE w:val="0"/>
              <w:autoSpaceDN w:val="0"/>
              <w:adjustRightInd w:val="0"/>
              <w:snapToGrid w:val="0"/>
              <w:spacing w:line="36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w:t>
            </w:r>
          </w:p>
        </w:tc>
        <w:tc>
          <w:tcPr>
            <w:tcW w:w="1228" w:type="dxa"/>
            <w:vAlign w:val="center"/>
          </w:tcPr>
          <w:p>
            <w:pPr>
              <w:kinsoku w:val="0"/>
              <w:overflowPunct w:val="0"/>
              <w:autoSpaceDE w:val="0"/>
              <w:autoSpaceDN w:val="0"/>
              <w:adjustRightInd w:val="0"/>
              <w:snapToGrid w:val="0"/>
              <w:spacing w:line="380" w:lineRule="exact"/>
              <w:rPr>
                <w:rFonts w:ascii="仿宋_GB2312" w:eastAsia="仿宋_GB2312"/>
                <w:color w:val="000000"/>
                <w:spacing w:val="-20"/>
                <w:kern w:val="0"/>
                <w:sz w:val="24"/>
                <w:szCs w:val="24"/>
              </w:rPr>
            </w:pPr>
            <w:r>
              <w:rPr>
                <w:rFonts w:hint="eastAsia" w:ascii="仿宋_GB2312" w:eastAsia="仿宋_GB2312" w:cs="仿宋_GB2312"/>
                <w:color w:val="000000"/>
                <w:spacing w:val="-20"/>
                <w:sz w:val="24"/>
                <w:szCs w:val="24"/>
              </w:rPr>
              <w:t>粮食流通市场监督检查</w:t>
            </w:r>
          </w:p>
        </w:tc>
        <w:tc>
          <w:tcPr>
            <w:tcW w:w="3568" w:type="dxa"/>
            <w:vAlign w:val="center"/>
          </w:tcPr>
          <w:p>
            <w:pPr>
              <w:kinsoku w:val="0"/>
              <w:overflowPunct w:val="0"/>
              <w:autoSpaceDE w:val="0"/>
              <w:autoSpaceDN w:val="0"/>
              <w:adjustRightInd w:val="0"/>
              <w:snapToGrid w:val="0"/>
              <w:spacing w:line="380" w:lineRule="exact"/>
              <w:rPr>
                <w:rFonts w:ascii="仿宋_GB2312" w:eastAsia="仿宋_GB2312"/>
                <w:color w:val="FF0000"/>
                <w:spacing w:val="-20"/>
                <w:kern w:val="0"/>
                <w:sz w:val="24"/>
                <w:szCs w:val="24"/>
              </w:rPr>
            </w:pPr>
            <w:r>
              <w:rPr>
                <w:rFonts w:hint="eastAsia" w:ascii="仿宋_GB2312" w:hAnsi="仿宋" w:eastAsia="仿宋_GB2312" w:cs="仿宋_GB2312"/>
                <w:color w:val="000000"/>
                <w:spacing w:val="-20"/>
                <w:sz w:val="24"/>
                <w:szCs w:val="24"/>
              </w:rPr>
              <w:t>粮食收购</w:t>
            </w:r>
            <w:r>
              <w:rPr>
                <w:rFonts w:hint="eastAsia" w:ascii="仿宋_GB2312" w:eastAsia="仿宋_GB2312" w:cs="仿宋_GB2312"/>
                <w:color w:val="000000"/>
                <w:spacing w:val="-20"/>
                <w:sz w:val="24"/>
                <w:szCs w:val="24"/>
              </w:rPr>
              <w:t>政策及“五要五不准”收购守则执行情况检查、粮食质量标准执行情况检查、粮食仓储设施检查、经营台账及统计制度执行情况检查等。</w:t>
            </w:r>
          </w:p>
        </w:tc>
        <w:tc>
          <w:tcPr>
            <w:tcW w:w="1283" w:type="dxa"/>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粮食经营企业</w:t>
            </w:r>
          </w:p>
        </w:tc>
        <w:tc>
          <w:tcPr>
            <w:tcW w:w="1283" w:type="dxa"/>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书面检查、</w:t>
            </w:r>
          </w:p>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3"/>
                <w:sz w:val="24"/>
                <w:szCs w:val="24"/>
              </w:rPr>
              <w:t>《粮食流通管理条例》第</w:t>
            </w:r>
            <w:r>
              <w:rPr>
                <w:rFonts w:hint="eastAsia" w:ascii="仿宋_GB2312" w:eastAsia="仿宋_GB2312" w:cs="仿宋_GB2312"/>
                <w:color w:val="000000"/>
                <w:spacing w:val="-20"/>
                <w:sz w:val="24"/>
                <w:szCs w:val="24"/>
              </w:rPr>
              <w:t>九、十、十一、十三、十六、二十三、</w:t>
            </w:r>
            <w:r>
              <w:rPr>
                <w:rFonts w:hint="eastAsia" w:ascii="仿宋_GB2312" w:eastAsia="仿宋_GB2312" w:cs="仿宋_GB2312"/>
                <w:color w:val="000000"/>
                <w:spacing w:val="-23"/>
                <w:sz w:val="24"/>
                <w:szCs w:val="24"/>
              </w:rPr>
              <w:t>三十八</w:t>
            </w:r>
            <w:r>
              <w:rPr>
                <w:rFonts w:hint="eastAsia" w:ascii="仿宋_GB2312" w:eastAsia="仿宋_GB2312" w:cs="仿宋_GB2312"/>
                <w:color w:val="000000"/>
                <w:spacing w:val="-20"/>
                <w:sz w:val="24"/>
                <w:szCs w:val="24"/>
              </w:rPr>
              <w:t>、</w:t>
            </w:r>
            <w:r>
              <w:rPr>
                <w:rFonts w:hint="eastAsia" w:ascii="仿宋_GB2312" w:eastAsia="仿宋_GB2312" w:cs="仿宋_GB2312"/>
                <w:color w:val="000000"/>
                <w:spacing w:val="-23"/>
                <w:sz w:val="24"/>
                <w:szCs w:val="24"/>
              </w:rPr>
              <w:t>三十九条；</w:t>
            </w:r>
            <w:r>
              <w:rPr>
                <w:rFonts w:hint="eastAsia" w:ascii="仿宋_GB2312" w:eastAsia="仿宋_GB2312" w:cs="仿宋_GB2312"/>
                <w:color w:val="000000"/>
                <w:spacing w:val="-20"/>
                <w:sz w:val="24"/>
                <w:szCs w:val="24"/>
              </w:rPr>
              <w:t>《粮油仓储管理办法》；《粮食质量安全监管办法》</w:t>
            </w:r>
            <w:r>
              <w:rPr>
                <w:rFonts w:hint="eastAsia" w:ascii="仿宋_GB2312" w:eastAsia="仿宋_GB2312" w:cs="仿宋_GB2312"/>
                <w:color w:val="000000"/>
                <w:spacing w:val="-23"/>
                <w:sz w:val="24"/>
                <w:szCs w:val="24"/>
              </w:rPr>
              <w:t>；《陕西省粮食流通监督检查实施办法》</w:t>
            </w:r>
          </w:p>
        </w:tc>
        <w:tc>
          <w:tcPr>
            <w:tcW w:w="1224"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经济发展局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eastAsia" w:ascii="仿宋_GB2312" w:hAnsi="黑体" w:eastAsia="仿宋_GB2312" w:cs="仿宋_GB2312"/>
                <w:color w:val="000000"/>
                <w:spacing w:val="-20"/>
                <w:kern w:val="0"/>
                <w:sz w:val="24"/>
                <w:szCs w:val="24"/>
                <w:lang w:eastAsia="zh-CN"/>
              </w:rPr>
            </w:pPr>
            <w:r>
              <w:rPr>
                <w:rFonts w:hint="eastAsia" w:ascii="仿宋_GB2312" w:hAnsi="黑体" w:eastAsia="仿宋_GB2312" w:cs="仿宋_GB2312"/>
                <w:color w:val="000000"/>
                <w:spacing w:val="-20"/>
                <w:kern w:val="0"/>
                <w:sz w:val="24"/>
                <w:szCs w:val="24"/>
                <w:lang w:val="en-US" w:eastAsia="zh-CN"/>
              </w:rPr>
              <w:t>2</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民办学校办学行为监督检查</w:t>
            </w: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遵守国家法律、法规和执行政策和党团组织建设情况监督检查</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民办学校</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eastAsia="仿宋_GB2312" w:cs="仿宋_GB2312"/>
                <w:color w:val="000000"/>
                <w:spacing w:val="-2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《民办教育促进法》第四条、第九条；《营利性民办学校监督管理实施细则》第三条、第二十条</w:t>
            </w:r>
          </w:p>
        </w:tc>
        <w:tc>
          <w:tcPr>
            <w:tcW w:w="1224" w:type="dxa"/>
            <w:vMerge w:val="restart"/>
            <w:vAlign w:val="center"/>
          </w:tcPr>
          <w:p>
            <w:pPr>
              <w:jc w:val="center"/>
              <w:rPr>
                <w:rFonts w:ascii="宋体"/>
                <w:b/>
                <w:bCs/>
                <w:color w:val="000000"/>
                <w:sz w:val="24"/>
                <w:szCs w:val="24"/>
              </w:rPr>
            </w:pPr>
            <w:r>
              <w:rPr>
                <w:rFonts w:hint="eastAsia" w:ascii="仿宋_GB2312" w:eastAsia="仿宋_GB2312" w:cs="仿宋_GB2312"/>
                <w:color w:val="000000"/>
                <w:spacing w:val="-20"/>
                <w:sz w:val="24"/>
                <w:szCs w:val="24"/>
              </w:rPr>
              <w:t>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办学条件（包括教学基础条件、教学经费投入等）符合设置标准情况监督检查</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hAnsi="宋体" w:eastAsia="仿宋_GB2312" w:cs="仿宋_GB2312"/>
                <w:color w:val="000000"/>
                <w:spacing w:val="-20"/>
                <w:sz w:val="24"/>
                <w:szCs w:val="24"/>
              </w:rPr>
              <w:t>《民办教育促进法》第十一条；《营利性民办学校监督管理实施细则》第五条、第六条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按照学校章程开展活动及决策机构、校长履职情况、内部管理机构设置和人员配备情况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《民办教育促进法》第二十条、二十一条、二十二条、二十五条；《民办教育促进法实施条例》第十九条、第二十条、第二十一条；《营利性民办学校监督管理实施细则》第十八条、第十九条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hint="eastAsia" w:ascii="仿宋_GB2312" w:hAnsi="宋体" w:eastAsia="仿宋_GB2312" w:cs="仿宋_GB2312"/>
                <w:color w:val="000000"/>
                <w:spacing w:val="-20"/>
                <w:sz w:val="24"/>
                <w:szCs w:val="24"/>
              </w:rPr>
            </w:pPr>
            <w:r>
              <w:rPr>
                <w:rFonts w:hint="eastAsia" w:ascii="仿宋_GB2312" w:hAnsi="宋体" w:eastAsia="仿宋_GB2312" w:cs="仿宋_GB2312"/>
                <w:color w:val="000000"/>
                <w:spacing w:val="-20"/>
                <w:sz w:val="24"/>
                <w:szCs w:val="24"/>
              </w:rPr>
              <w:t>民办学校办学许可证事项的监督检查</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2"/>
                <w:sz w:val="24"/>
                <w:szCs w:val="24"/>
              </w:rPr>
            </w:pPr>
            <w:r>
              <w:rPr>
                <w:rFonts w:hint="eastAsia" w:ascii="仿宋_GB2312" w:eastAsia="仿宋_GB2312" w:cs="仿宋_GB2312"/>
                <w:color w:val="000000"/>
                <w:spacing w:val="-22"/>
                <w:sz w:val="24"/>
                <w:szCs w:val="24"/>
              </w:rPr>
              <w:t>《民办教育促进法》第五十三条、五十四条、五十五条、第六十二条；《营利性民办学校监督管理实施细则》第三十七条、四十七条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民办学校依法聘任和使用教职工情况的监督检查</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《民办教育促进法》第二十九条、第三十一条；《民办教育促进法实施条例》第二十三条、第二十四条；《营利性民办学校监督管理实施细则》第二十五条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5" w:hRule="atLeast"/>
        </w:trPr>
        <w:tc>
          <w:tcPr>
            <w:tcW w:w="702" w:type="dxa"/>
            <w:vAlign w:val="center"/>
          </w:tcPr>
          <w:p>
            <w:pPr>
              <w:kinsoku w:val="0"/>
              <w:overflowPunct w:val="0"/>
              <w:autoSpaceDE w:val="0"/>
              <w:autoSpaceDN w:val="0"/>
              <w:adjustRightInd w:val="0"/>
              <w:snapToGrid w:val="0"/>
              <w:spacing w:line="320" w:lineRule="exact"/>
              <w:jc w:val="center"/>
              <w:rPr>
                <w:rFonts w:hint="eastAsia" w:ascii="仿宋_GB2312" w:hAnsi="仿宋_GB2312" w:eastAsia="仿宋_GB2312"/>
                <w:color w:val="000000"/>
                <w:spacing w:val="-28"/>
                <w:sz w:val="24"/>
                <w:szCs w:val="24"/>
                <w:lang w:eastAsia="zh-CN"/>
              </w:rPr>
            </w:pPr>
            <w:r>
              <w:rPr>
                <w:rFonts w:hint="eastAsia" w:ascii="仿宋_GB2312" w:hAnsi="仿宋_GB2312" w:eastAsia="仿宋_GB2312" w:cs="仿宋_GB2312"/>
                <w:color w:val="000000"/>
                <w:spacing w:val="-28"/>
                <w:sz w:val="24"/>
                <w:szCs w:val="24"/>
                <w:lang w:val="en-US" w:eastAsia="zh-CN"/>
              </w:rPr>
              <w:t>3</w:t>
            </w:r>
          </w:p>
        </w:tc>
        <w:tc>
          <w:tcPr>
            <w:tcW w:w="1228"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对经营高危险性体育项目的监督检查</w:t>
            </w:r>
          </w:p>
        </w:tc>
        <w:tc>
          <w:tcPr>
            <w:tcW w:w="3568" w:type="dxa"/>
            <w:vAlign w:val="center"/>
          </w:tcPr>
          <w:p>
            <w:pPr>
              <w:kinsoku w:val="0"/>
              <w:overflowPunct w:val="0"/>
              <w:autoSpaceDE w:val="0"/>
              <w:autoSpaceDN w:val="0"/>
              <w:adjustRightInd w:val="0"/>
              <w:snapToGrid w:val="0"/>
              <w:spacing w:line="320" w:lineRule="exact"/>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s="仿宋_GB2312"/>
                <w:color w:val="000000"/>
                <w:spacing w:val="-28"/>
                <w:sz w:val="24"/>
                <w:szCs w:val="24"/>
              </w:rPr>
              <w:t>对经营高危险性体育项目的监督检查</w:t>
            </w:r>
            <w:r>
              <w:rPr>
                <w:rFonts w:hint="eastAsia" w:ascii="仿宋_GB2312" w:hAnsi="仿宋_GB2312" w:eastAsia="仿宋_GB2312" w:cs="仿宋_GB2312"/>
                <w:color w:val="000000"/>
                <w:spacing w:val="-28"/>
                <w:sz w:val="24"/>
                <w:szCs w:val="24"/>
                <w:lang w:val="en-US" w:eastAsia="zh-CN"/>
              </w:rPr>
              <w:t xml:space="preserve">                                                                                                                                                                                                                                                                                                                                                                                 </w:t>
            </w:r>
            <w:bookmarkStart w:id="0" w:name="_GoBack"/>
            <w:bookmarkEnd w:id="0"/>
          </w:p>
        </w:tc>
        <w:tc>
          <w:tcPr>
            <w:tcW w:w="1283"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经营高危险性体育项目者</w:t>
            </w:r>
          </w:p>
        </w:tc>
        <w:tc>
          <w:tcPr>
            <w:tcW w:w="1283" w:type="dxa"/>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重点</w:t>
            </w:r>
          </w:p>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检查事项</w:t>
            </w:r>
          </w:p>
        </w:tc>
        <w:tc>
          <w:tcPr>
            <w:tcW w:w="1267"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《全民健身条例》第三十四条；《经营高危险性体育项目许可管理办法》</w:t>
            </w:r>
          </w:p>
        </w:tc>
        <w:tc>
          <w:tcPr>
            <w:tcW w:w="1224" w:type="dxa"/>
            <w:vAlign w:val="center"/>
          </w:tcPr>
          <w:p>
            <w:pPr>
              <w:jc w:val="center"/>
              <w:rPr>
                <w:rFonts w:ascii="宋体"/>
                <w:b/>
                <w:bCs/>
                <w:color w:val="000000"/>
                <w:sz w:val="24"/>
                <w:szCs w:val="24"/>
              </w:rPr>
            </w:pPr>
            <w:r>
              <w:rPr>
                <w:rFonts w:hint="eastAsia" w:ascii="仿宋_GB2312" w:hAnsi="仿宋_GB2312" w:eastAsia="仿宋_GB2312" w:cs="仿宋_GB2312"/>
                <w:color w:val="000000"/>
                <w:spacing w:val="-28"/>
                <w:sz w:val="24"/>
                <w:szCs w:val="24"/>
              </w:rPr>
              <w:t>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trPr>
        <w:tc>
          <w:tcPr>
            <w:tcW w:w="702" w:type="dxa"/>
            <w:vAlign w:val="center"/>
          </w:tcPr>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lang w:eastAsia="zh-CN"/>
              </w:rPr>
            </w:pPr>
            <w:r>
              <w:rPr>
                <w:rFonts w:hint="eastAsia" w:ascii="仿宋_GB2312" w:eastAsia="仿宋_GB2312" w:cs="仿宋_GB2312"/>
                <w:color w:val="000000"/>
                <w:spacing w:val="-20"/>
                <w:sz w:val="24"/>
                <w:szCs w:val="24"/>
                <w:lang w:val="en-US" w:eastAsia="zh-CN"/>
              </w:rPr>
              <w:t>4</w:t>
            </w:r>
          </w:p>
        </w:tc>
        <w:tc>
          <w:tcPr>
            <w:tcW w:w="1228" w:type="dxa"/>
            <w:tcBorders>
              <w:right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kern w:val="0"/>
                <w:sz w:val="24"/>
                <w:szCs w:val="24"/>
              </w:rPr>
              <w:t>卫生健康检查</w:t>
            </w:r>
          </w:p>
        </w:tc>
        <w:tc>
          <w:tcPr>
            <w:tcW w:w="3568" w:type="dxa"/>
            <w:tcBorders>
              <w:left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FF0000"/>
                <w:spacing w:val="-20"/>
                <w:kern w:val="0"/>
                <w:sz w:val="24"/>
                <w:szCs w:val="24"/>
              </w:rPr>
            </w:pPr>
            <w:r>
              <w:rPr>
                <w:rFonts w:hint="eastAsia" w:ascii="仿宋_GB2312" w:eastAsia="仿宋_GB2312" w:cs="仿宋_GB2312"/>
                <w:color w:val="000000"/>
                <w:spacing w:val="-20"/>
                <w:sz w:val="24"/>
                <w:szCs w:val="24"/>
              </w:rPr>
              <w:t>影剧院、录像厅（室）、游艺厅（室）、舞厅、音乐厅取得、公示公共场所卫生许可证情况、卫生状况及卫生制度落实情况的检查</w:t>
            </w:r>
          </w:p>
        </w:tc>
        <w:tc>
          <w:tcPr>
            <w:tcW w:w="1283" w:type="dxa"/>
            <w:vAlign w:val="center"/>
          </w:tcPr>
          <w:p>
            <w:pPr>
              <w:kinsoku w:val="0"/>
              <w:overflowPunct w:val="0"/>
              <w:autoSpaceDE w:val="0"/>
              <w:autoSpaceDN w:val="0"/>
              <w:adjustRightInd w:val="0"/>
              <w:snapToGrid w:val="0"/>
              <w:spacing w:line="360" w:lineRule="exact"/>
              <w:jc w:val="lef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区管各类影剧院、</w:t>
            </w:r>
            <w:r>
              <w:rPr>
                <w:rFonts w:hint="eastAsia" w:ascii="仿宋_GB2312" w:eastAsia="仿宋_GB2312" w:cs="仿宋_GB2312"/>
                <w:color w:val="000000"/>
                <w:spacing w:val="-20"/>
                <w:sz w:val="24"/>
                <w:szCs w:val="24"/>
              </w:rPr>
              <w:t>录像厅（室）、游艺厅（室）、舞厅、音乐厅</w:t>
            </w:r>
          </w:p>
        </w:tc>
        <w:tc>
          <w:tcPr>
            <w:tcW w:w="1283" w:type="dxa"/>
            <w:vAlign w:val="center"/>
          </w:tcPr>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8"/>
                <w:sz w:val="24"/>
                <w:szCs w:val="24"/>
              </w:rPr>
            </w:pPr>
            <w:r>
              <w:rPr>
                <w:rFonts w:hint="eastAsia" w:ascii="仿宋_GB2312" w:eastAsia="仿宋_GB2312" w:cs="仿宋_GB2312"/>
                <w:color w:val="000000"/>
                <w:spacing w:val="-20"/>
                <w:sz w:val="24"/>
                <w:szCs w:val="24"/>
              </w:rPr>
              <w:t>《公共场所卫生管理条例》、《公共场所卫生管理条例实施细则》</w:t>
            </w:r>
          </w:p>
        </w:tc>
        <w:tc>
          <w:tcPr>
            <w:tcW w:w="1224" w:type="dxa"/>
            <w:vAlign w:val="center"/>
          </w:tcPr>
          <w:p>
            <w:pPr>
              <w:jc w:val="center"/>
              <w:rPr>
                <w:rFonts w:ascii="宋体" w:cs="宋体"/>
                <w:b/>
                <w:bCs/>
                <w:color w:val="000000"/>
                <w:sz w:val="24"/>
                <w:szCs w:val="24"/>
              </w:rPr>
            </w:pPr>
            <w:r>
              <w:rPr>
                <w:rFonts w:hint="eastAsia" w:ascii="仿宋_GB2312" w:hAnsi="仿宋_GB2312" w:eastAsia="仿宋_GB2312" w:cs="仿宋_GB2312"/>
                <w:color w:val="000000"/>
                <w:spacing w:val="-28"/>
                <w:sz w:val="24"/>
                <w:szCs w:val="24"/>
              </w:rPr>
              <w:t>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rPr>
        <w:tc>
          <w:tcPr>
            <w:tcW w:w="702" w:type="dxa"/>
            <w:vAlign w:val="center"/>
          </w:tcPr>
          <w:p>
            <w:pPr>
              <w:kinsoku w:val="0"/>
              <w:overflowPunct w:val="0"/>
              <w:autoSpaceDE w:val="0"/>
              <w:autoSpaceDN w:val="0"/>
              <w:adjustRightInd w:val="0"/>
              <w:snapToGrid w:val="0"/>
              <w:spacing w:line="360" w:lineRule="exact"/>
              <w:ind w:firstLine="200" w:firstLineChars="100"/>
              <w:rPr>
                <w:rFonts w:hint="eastAsia" w:ascii="仿宋_GB2312" w:eastAsia="仿宋_GB2312" w:cs="仿宋_GB2312"/>
                <w:color w:val="000000"/>
                <w:spacing w:val="-20"/>
                <w:sz w:val="24"/>
                <w:szCs w:val="24"/>
                <w:lang w:val="en-US" w:eastAsia="zh-CN"/>
              </w:rPr>
            </w:pPr>
            <w:r>
              <w:rPr>
                <w:rFonts w:hint="eastAsia" w:ascii="仿宋_GB2312" w:eastAsia="仿宋_GB2312" w:cs="仿宋_GB2312"/>
                <w:color w:val="000000"/>
                <w:spacing w:val="-20"/>
                <w:sz w:val="24"/>
                <w:szCs w:val="24"/>
                <w:lang w:val="en-US" w:eastAsia="zh-CN"/>
              </w:rPr>
              <w:t>5</w:t>
            </w:r>
          </w:p>
        </w:tc>
        <w:tc>
          <w:tcPr>
            <w:tcW w:w="1228" w:type="dxa"/>
            <w:tcBorders>
              <w:right w:val="single" w:color="auto" w:sz="4" w:space="0"/>
            </w:tcBorders>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医疗美容机构监督检查</w:t>
            </w:r>
          </w:p>
        </w:tc>
        <w:tc>
          <w:tcPr>
            <w:tcW w:w="3568" w:type="dxa"/>
            <w:tcBorders>
              <w:left w:val="single" w:color="auto" w:sz="4" w:space="0"/>
            </w:tcBorders>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医疗机构执业许可证、科室设置及许可范围、医务人员相关资质、实际开展的医疗美容项目、医疗质量安全管理、毒麻药品使用登记情况、医废处置等情况</w:t>
            </w:r>
          </w:p>
        </w:tc>
        <w:tc>
          <w:tcPr>
            <w:tcW w:w="1283" w:type="dxa"/>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区医疗美容机构</w:t>
            </w:r>
          </w:p>
        </w:tc>
        <w:tc>
          <w:tcPr>
            <w:tcW w:w="1283" w:type="dxa"/>
            <w:vAlign w:val="center"/>
          </w:tcPr>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《医疗美容服务管理办法》</w:t>
            </w:r>
          </w:p>
        </w:tc>
        <w:tc>
          <w:tcPr>
            <w:tcW w:w="1224" w:type="dxa"/>
            <w:vAlign w:val="center"/>
          </w:tcPr>
          <w:p>
            <w:pPr>
              <w:jc w:val="center"/>
              <w:rPr>
                <w:rFonts w:ascii="宋体" w:cs="宋体"/>
                <w:b/>
                <w:bCs/>
                <w:color w:val="000000"/>
                <w:sz w:val="24"/>
                <w:szCs w:val="24"/>
              </w:rPr>
            </w:pPr>
            <w:r>
              <w:rPr>
                <w:rFonts w:hint="eastAsia" w:ascii="仿宋_GB2312" w:hAnsi="仿宋_GB2312" w:eastAsia="仿宋_GB2312" w:cs="仿宋_GB2312"/>
                <w:color w:val="000000"/>
                <w:spacing w:val="-28"/>
                <w:sz w:val="24"/>
                <w:szCs w:val="24"/>
              </w:rPr>
              <w:t>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20" w:lineRule="exact"/>
              <w:jc w:val="center"/>
              <w:rPr>
                <w:rFonts w:hint="eastAsia" w:ascii="仿宋_GB2312" w:hAnsi="仿宋" w:eastAsia="仿宋_GB2312" w:cs="仿宋_GB2312"/>
                <w:color w:val="000000"/>
                <w:spacing w:val="-20"/>
                <w:sz w:val="24"/>
                <w:szCs w:val="24"/>
                <w:lang w:eastAsia="zh-CN"/>
              </w:rPr>
            </w:pPr>
            <w:r>
              <w:rPr>
                <w:rFonts w:hint="eastAsia" w:ascii="仿宋_GB2312" w:hAnsi="仿宋" w:eastAsia="仿宋_GB2312" w:cs="仿宋_GB2312"/>
                <w:color w:val="000000"/>
                <w:spacing w:val="-20"/>
                <w:sz w:val="24"/>
                <w:szCs w:val="24"/>
                <w:lang w:val="en-US" w:eastAsia="zh-CN"/>
              </w:rPr>
              <w:t>6</w:t>
            </w:r>
          </w:p>
        </w:tc>
        <w:tc>
          <w:tcPr>
            <w:tcW w:w="1228"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爆破作业单位安全监督检查</w:t>
            </w:r>
          </w:p>
        </w:tc>
        <w:tc>
          <w:tcPr>
            <w:tcW w:w="3568" w:type="dxa"/>
            <w:vAlign w:val="center"/>
          </w:tcPr>
          <w:p>
            <w:pPr>
              <w:kinsoku w:val="0"/>
              <w:overflowPunct w:val="0"/>
              <w:autoSpaceDE w:val="0"/>
              <w:autoSpaceDN w:val="0"/>
              <w:adjustRightInd w:val="0"/>
              <w:snapToGrid w:val="0"/>
              <w:spacing w:line="320" w:lineRule="exact"/>
              <w:rPr>
                <w:rFonts w:ascii="仿宋_GB2312" w:hAnsi="宋体" w:eastAsia="仿宋_GB2312"/>
                <w:b/>
                <w:bCs/>
                <w:color w:val="000000"/>
                <w:spacing w:val="-20"/>
                <w:sz w:val="24"/>
                <w:szCs w:val="24"/>
              </w:rPr>
            </w:pPr>
            <w:r>
              <w:rPr>
                <w:rFonts w:hint="eastAsia" w:ascii="仿宋_GB2312" w:hAnsi="仿宋" w:eastAsia="仿宋_GB2312" w:cs="仿宋_GB2312"/>
                <w:color w:val="000000"/>
                <w:spacing w:val="-20"/>
                <w:sz w:val="24"/>
                <w:szCs w:val="24"/>
              </w:rPr>
              <w:t>爆破作业单位履行主体安全生产管理责任：</w:t>
            </w: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爆破作业单位日常管理；</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爆破作业人员培训考核；</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民用爆炸物品库硬件设施；</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民用爆炸物品库日常安全管理；</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民用爆炸物品库治安防范；</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民用爆炸物品流向登记制度执行情况；</w:t>
            </w:r>
            <w:r>
              <w:rPr>
                <w:rFonts w:ascii="仿宋_GB2312" w:hAnsi="仿宋" w:eastAsia="仿宋_GB2312" w:cs="仿宋_GB2312"/>
                <w:color w:val="000000"/>
                <w:spacing w:val="-20"/>
                <w:sz w:val="24"/>
                <w:szCs w:val="24"/>
              </w:rPr>
              <w:t>7.</w:t>
            </w:r>
            <w:r>
              <w:rPr>
                <w:rFonts w:hint="eastAsia" w:ascii="仿宋_GB2312" w:hAnsi="仿宋" w:eastAsia="仿宋_GB2312" w:cs="仿宋_GB2312"/>
                <w:color w:val="000000"/>
                <w:spacing w:val="-20"/>
                <w:sz w:val="24"/>
                <w:szCs w:val="24"/>
              </w:rPr>
              <w:t>爆破作业规范操作；</w:t>
            </w:r>
            <w:r>
              <w:rPr>
                <w:rFonts w:ascii="仿宋_GB2312" w:hAnsi="仿宋" w:eastAsia="仿宋_GB2312" w:cs="仿宋_GB2312"/>
                <w:color w:val="000000"/>
                <w:spacing w:val="-20"/>
                <w:sz w:val="24"/>
                <w:szCs w:val="24"/>
              </w:rPr>
              <w:t>8.</w:t>
            </w:r>
            <w:r>
              <w:rPr>
                <w:rFonts w:hint="eastAsia" w:ascii="仿宋_GB2312" w:hAnsi="仿宋" w:eastAsia="仿宋_GB2312" w:cs="仿宋_GB2312"/>
                <w:color w:val="000000"/>
                <w:spacing w:val="-20"/>
                <w:sz w:val="24"/>
                <w:szCs w:val="24"/>
              </w:rPr>
              <w:t>民用爆炸物品运输</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爆破作业单位</w:t>
            </w:r>
          </w:p>
        </w:tc>
        <w:tc>
          <w:tcPr>
            <w:tcW w:w="1283"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重点</w:t>
            </w:r>
          </w:p>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2"/>
                <w:sz w:val="24"/>
                <w:szCs w:val="24"/>
              </w:rPr>
            </w:pPr>
            <w:r>
              <w:rPr>
                <w:rFonts w:hint="eastAsia" w:ascii="仿宋_GB2312" w:hAnsi="仿宋" w:eastAsia="仿宋_GB2312" w:cs="仿宋_GB2312"/>
                <w:color w:val="000000"/>
                <w:spacing w:val="-32"/>
                <w:sz w:val="24"/>
                <w:szCs w:val="24"/>
              </w:rPr>
              <w:t>《</w:t>
            </w:r>
            <w:r>
              <w:rPr>
                <w:rFonts w:hint="eastAsia" w:ascii="仿宋_GB2312" w:hAnsi="仿宋" w:eastAsia="仿宋_GB2312" w:cs="仿宋_GB2312"/>
                <w:color w:val="000000"/>
                <w:spacing w:val="-32"/>
              </w:rPr>
              <w:t>民用爆炸物品安全管理条例》（国务院令第</w:t>
            </w:r>
            <w:r>
              <w:rPr>
                <w:rFonts w:ascii="仿宋_GB2312" w:hAnsi="仿宋" w:eastAsia="仿宋_GB2312" w:cs="仿宋_GB2312"/>
                <w:color w:val="000000"/>
                <w:spacing w:val="-32"/>
              </w:rPr>
              <w:t>466</w:t>
            </w:r>
            <w:r>
              <w:rPr>
                <w:rFonts w:hint="eastAsia" w:ascii="仿宋_GB2312" w:hAnsi="仿宋" w:eastAsia="仿宋_GB2312" w:cs="仿宋_GB2312"/>
                <w:color w:val="000000"/>
                <w:spacing w:val="-32"/>
              </w:rPr>
              <w:t>号）第四条；《工业雷管编码通则》（</w:t>
            </w:r>
            <w:r>
              <w:rPr>
                <w:rFonts w:ascii="仿宋_GB2312" w:hAnsi="仿宋" w:eastAsia="仿宋_GB2312" w:cs="仿宋_GB2312"/>
                <w:color w:val="000000"/>
                <w:spacing w:val="-32"/>
              </w:rPr>
              <w:t>GA441—2003</w:t>
            </w:r>
            <w:r>
              <w:rPr>
                <w:rFonts w:hint="eastAsia" w:ascii="仿宋_GB2312" w:hAnsi="仿宋" w:eastAsia="仿宋_GB2312" w:cs="仿宋_GB2312"/>
                <w:color w:val="000000"/>
                <w:spacing w:val="-32"/>
              </w:rPr>
              <w:t>）；《民用爆炸物品警示标识登记标识通则》（</w:t>
            </w:r>
            <w:r>
              <w:rPr>
                <w:rFonts w:ascii="仿宋_GB2312" w:hAnsi="仿宋" w:eastAsia="仿宋_GB2312" w:cs="仿宋_GB2312"/>
                <w:color w:val="000000"/>
                <w:spacing w:val="-32"/>
              </w:rPr>
              <w:t>GA921—2010</w:t>
            </w:r>
            <w:r>
              <w:rPr>
                <w:rFonts w:hint="eastAsia" w:ascii="仿宋_GB2312" w:hAnsi="仿宋" w:eastAsia="仿宋_GB2312" w:cs="仿宋_GB2312"/>
                <w:color w:val="000000"/>
                <w:spacing w:val="-32"/>
              </w:rPr>
              <w:t>）；《民用爆炸物品储存库治安防范要求》（</w:t>
            </w:r>
            <w:r>
              <w:rPr>
                <w:rFonts w:ascii="仿宋_GB2312" w:hAnsi="仿宋" w:eastAsia="仿宋_GB2312" w:cs="仿宋_GB2312"/>
                <w:color w:val="000000"/>
                <w:spacing w:val="-32"/>
              </w:rPr>
              <w:t>GA837—2009</w:t>
            </w:r>
            <w:r>
              <w:rPr>
                <w:rFonts w:hint="eastAsia" w:ascii="仿宋_GB2312" w:hAnsi="仿宋" w:eastAsia="仿宋_GB2312" w:cs="仿宋_GB2312"/>
                <w:color w:val="000000"/>
                <w:spacing w:val="-32"/>
              </w:rPr>
              <w:t>）；《小型民用爆炸物品储存库安全规范》（</w:t>
            </w:r>
            <w:r>
              <w:rPr>
                <w:rFonts w:ascii="仿宋_GB2312" w:hAnsi="仿宋" w:eastAsia="仿宋_GB2312" w:cs="仿宋_GB2312"/>
                <w:color w:val="000000"/>
                <w:spacing w:val="-32"/>
              </w:rPr>
              <w:t>GA838—2009</w:t>
            </w:r>
            <w:r>
              <w:rPr>
                <w:rFonts w:hint="eastAsia" w:ascii="仿宋_GB2312" w:hAnsi="仿宋" w:eastAsia="仿宋_GB2312" w:cs="仿宋_GB2312"/>
                <w:color w:val="000000"/>
                <w:spacing w:val="-32"/>
              </w:rPr>
              <w:t>）；《爆破作业单位民用爆炸物品储存库安全评价导则》（</w:t>
            </w:r>
            <w:r>
              <w:rPr>
                <w:rFonts w:ascii="仿宋_GB2312" w:hAnsi="仿宋" w:eastAsia="仿宋_GB2312" w:cs="仿宋_GB2312"/>
                <w:color w:val="000000"/>
                <w:spacing w:val="-32"/>
              </w:rPr>
              <w:t>GA/T848—2009</w:t>
            </w:r>
            <w:r>
              <w:rPr>
                <w:rFonts w:hint="eastAsia" w:ascii="仿宋_GB2312" w:hAnsi="仿宋" w:eastAsia="仿宋_GB2312" w:cs="仿宋_GB2312"/>
                <w:color w:val="000000"/>
                <w:spacing w:val="-32"/>
              </w:rPr>
              <w:t>）；《爆破安全规程》（</w:t>
            </w:r>
            <w:r>
              <w:rPr>
                <w:rFonts w:ascii="仿宋_GB2312" w:hAnsi="仿宋" w:eastAsia="仿宋_GB2312" w:cs="仿宋_GB2312"/>
                <w:color w:val="000000"/>
                <w:spacing w:val="-32"/>
              </w:rPr>
              <w:t>GB6722—2003</w:t>
            </w:r>
            <w:r>
              <w:rPr>
                <w:rFonts w:hint="eastAsia" w:ascii="仿宋_GB2312" w:hAnsi="仿宋" w:eastAsia="仿宋_GB2312" w:cs="仿宋_GB2312"/>
                <w:color w:val="000000"/>
                <w:spacing w:val="-32"/>
              </w:rPr>
              <w:t>）；《爆破作业人员安全技术考核标准》（</w:t>
            </w:r>
            <w:r>
              <w:rPr>
                <w:rFonts w:ascii="仿宋_GB2312" w:hAnsi="仿宋" w:eastAsia="仿宋_GB2312" w:cs="仿宋_GB2312"/>
                <w:color w:val="000000"/>
                <w:spacing w:val="-32"/>
              </w:rPr>
              <w:t>GA53—93</w:t>
            </w:r>
            <w:r>
              <w:rPr>
                <w:rFonts w:hint="eastAsia" w:ascii="仿宋_GB2312" w:hAnsi="仿宋" w:eastAsia="仿宋_GB2312" w:cs="仿宋_GB2312"/>
                <w:color w:val="000000"/>
                <w:spacing w:val="-32"/>
              </w:rPr>
              <w:t>）；《爆破作业单位资质条件和管理要求》（</w:t>
            </w:r>
            <w:r>
              <w:rPr>
                <w:rFonts w:ascii="仿宋_GB2312" w:hAnsi="仿宋" w:eastAsia="仿宋_GB2312" w:cs="仿宋_GB2312"/>
                <w:color w:val="000000"/>
                <w:spacing w:val="-32"/>
              </w:rPr>
              <w:t>GA990—2012</w:t>
            </w:r>
            <w:r>
              <w:rPr>
                <w:rFonts w:hint="eastAsia" w:ascii="仿宋_GB2312" w:hAnsi="仿宋" w:eastAsia="仿宋_GB2312" w:cs="仿宋_GB2312"/>
                <w:color w:val="000000"/>
                <w:spacing w:val="-32"/>
              </w:rPr>
              <w:t>）《爆破作业项目管理要求》（</w:t>
            </w:r>
            <w:r>
              <w:rPr>
                <w:rFonts w:ascii="仿宋_GB2312" w:hAnsi="仿宋" w:eastAsia="仿宋_GB2312" w:cs="仿宋_GB2312"/>
                <w:color w:val="000000"/>
                <w:spacing w:val="-32"/>
              </w:rPr>
              <w:t>GA991—2012</w:t>
            </w:r>
            <w:r>
              <w:rPr>
                <w:rFonts w:hint="eastAsia" w:ascii="仿宋_GB2312" w:hAnsi="仿宋" w:eastAsia="仿宋_GB2312" w:cs="仿宋_GB2312"/>
                <w:color w:val="000000"/>
                <w:spacing w:val="-32"/>
              </w:rPr>
              <w:t>）</w:t>
            </w:r>
          </w:p>
        </w:tc>
        <w:tc>
          <w:tcPr>
            <w:tcW w:w="1224"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公安分局</w:t>
            </w:r>
          </w:p>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20" w:lineRule="exact"/>
              <w:jc w:val="center"/>
              <w:rPr>
                <w:rFonts w:hint="eastAsia" w:ascii="仿宋_GB2312" w:hAnsi="仿宋" w:eastAsia="仿宋_GB2312" w:cs="仿宋_GB2312"/>
                <w:color w:val="000000"/>
                <w:spacing w:val="-20"/>
                <w:sz w:val="24"/>
                <w:szCs w:val="24"/>
                <w:lang w:eastAsia="zh-CN"/>
              </w:rPr>
            </w:pPr>
            <w:r>
              <w:rPr>
                <w:rFonts w:hint="eastAsia" w:ascii="仿宋_GB2312" w:hAnsi="仿宋" w:eastAsia="仿宋_GB2312" w:cs="仿宋_GB2312"/>
                <w:color w:val="000000"/>
                <w:spacing w:val="-20"/>
                <w:sz w:val="24"/>
                <w:szCs w:val="24"/>
                <w:lang w:val="en-US" w:eastAsia="zh-CN"/>
              </w:rPr>
              <w:t>7</w:t>
            </w:r>
          </w:p>
        </w:tc>
        <w:tc>
          <w:tcPr>
            <w:tcW w:w="1228"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保安服务业安全经营管理行为监督检查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rPr>
            </w:pPr>
            <w:r>
              <w:rPr>
                <w:rFonts w:hint="eastAsia" w:ascii="仿宋_GB2312" w:hAnsi="仿宋" w:eastAsia="仿宋_GB2312" w:cs="仿宋_GB2312"/>
                <w:color w:val="000000"/>
                <w:spacing w:val="-20"/>
              </w:rPr>
              <w:t>保安服务公司和保安培训单位履行主体责任：一</w:t>
            </w:r>
            <w:r>
              <w:rPr>
                <w:rFonts w:ascii="仿宋_GB2312" w:hAnsi="仿宋" w:eastAsia="仿宋_GB2312" w:cs="仿宋_GB2312"/>
                <w:color w:val="000000"/>
                <w:spacing w:val="-20"/>
              </w:rPr>
              <w:t xml:space="preserve">. </w:t>
            </w:r>
            <w:r>
              <w:rPr>
                <w:rFonts w:hint="eastAsia" w:ascii="仿宋_GB2312" w:hAnsi="仿宋" w:eastAsia="仿宋_GB2312" w:cs="仿宋_GB2312"/>
                <w:color w:val="000000"/>
                <w:spacing w:val="-20"/>
              </w:rPr>
              <w:t>保安服务公司：</w:t>
            </w:r>
            <w:r>
              <w:rPr>
                <w:rFonts w:ascii="仿宋_GB2312" w:hAnsi="仿宋" w:eastAsia="仿宋_GB2312" w:cs="仿宋_GB2312"/>
                <w:color w:val="000000"/>
                <w:spacing w:val="-20"/>
              </w:rPr>
              <w:t>1.</w:t>
            </w:r>
            <w:r>
              <w:rPr>
                <w:rFonts w:hint="eastAsia" w:ascii="仿宋_GB2312" w:hAnsi="仿宋" w:eastAsia="仿宋_GB2312" w:cs="仿宋_GB2312"/>
                <w:color w:val="000000"/>
                <w:spacing w:val="-20"/>
              </w:rPr>
              <w:t>保安服务公司基本情况；</w:t>
            </w:r>
            <w:r>
              <w:rPr>
                <w:rFonts w:ascii="仿宋_GB2312" w:hAnsi="仿宋" w:eastAsia="仿宋_GB2312" w:cs="仿宋_GB2312"/>
                <w:color w:val="000000"/>
                <w:spacing w:val="-20"/>
              </w:rPr>
              <w:t>2.</w:t>
            </w:r>
            <w:r>
              <w:rPr>
                <w:rFonts w:hint="eastAsia" w:ascii="仿宋_GB2312" w:hAnsi="仿宋" w:eastAsia="仿宋_GB2312" w:cs="仿宋_GB2312"/>
                <w:color w:val="000000"/>
                <w:spacing w:val="-20"/>
              </w:rPr>
              <w:t>设立分公司和跨省、自治区、直辖市开展保安服务经营活动情况；</w:t>
            </w:r>
            <w:r>
              <w:rPr>
                <w:rFonts w:ascii="仿宋_GB2312" w:hAnsi="仿宋" w:eastAsia="仿宋_GB2312" w:cs="仿宋_GB2312"/>
                <w:color w:val="000000"/>
                <w:spacing w:val="-20"/>
              </w:rPr>
              <w:t>3.</w:t>
            </w:r>
            <w:r>
              <w:rPr>
                <w:rFonts w:hint="eastAsia" w:ascii="仿宋_GB2312" w:hAnsi="仿宋" w:eastAsia="仿宋_GB2312" w:cs="仿宋_GB2312"/>
                <w:color w:val="000000"/>
                <w:spacing w:val="-20"/>
              </w:rPr>
              <w:t>保安服务合同和监控影像资料、报警记录留存制度落实情况；</w:t>
            </w:r>
            <w:r>
              <w:rPr>
                <w:rFonts w:ascii="仿宋_GB2312" w:hAnsi="仿宋" w:eastAsia="仿宋_GB2312" w:cs="仿宋_GB2312"/>
                <w:color w:val="000000"/>
                <w:spacing w:val="-20"/>
              </w:rPr>
              <w:t>4.</w:t>
            </w:r>
            <w:r>
              <w:rPr>
                <w:rFonts w:hint="eastAsia" w:ascii="仿宋_GB2312" w:hAnsi="仿宋" w:eastAsia="仿宋_GB2312" w:cs="仿宋_GB2312"/>
                <w:color w:val="000000"/>
                <w:spacing w:val="-20"/>
              </w:rPr>
              <w:t>保安服务中涉及的安全技术防范产品、设备安装、变更、使用情况；</w:t>
            </w:r>
            <w:r>
              <w:rPr>
                <w:rFonts w:ascii="仿宋_GB2312" w:hAnsi="仿宋" w:eastAsia="仿宋_GB2312" w:cs="仿宋_GB2312"/>
                <w:color w:val="000000"/>
                <w:spacing w:val="-20"/>
              </w:rPr>
              <w:t>5.</w:t>
            </w:r>
            <w:r>
              <w:rPr>
                <w:rFonts w:hint="eastAsia" w:ascii="仿宋_GB2312" w:hAnsi="仿宋" w:eastAsia="仿宋_GB2312" w:cs="仿宋_GB2312"/>
                <w:color w:val="000000"/>
                <w:spacing w:val="-20"/>
              </w:rPr>
              <w:t>保安服务管理制度、岗位责任制度、保安员管理制度和紧急情况应急预案建立落实情况；</w:t>
            </w:r>
            <w:r>
              <w:rPr>
                <w:rFonts w:ascii="仿宋_GB2312" w:hAnsi="仿宋" w:eastAsia="仿宋_GB2312" w:cs="仿宋_GB2312"/>
                <w:color w:val="000000"/>
                <w:spacing w:val="-20"/>
              </w:rPr>
              <w:t>6.</w:t>
            </w:r>
            <w:r>
              <w:rPr>
                <w:rFonts w:hint="eastAsia" w:ascii="仿宋_GB2312" w:hAnsi="仿宋" w:eastAsia="仿宋_GB2312" w:cs="仿宋_GB2312"/>
                <w:color w:val="000000"/>
                <w:spacing w:val="-20"/>
              </w:rPr>
              <w:t>从事武装守护押运服务保安服务公司公务用枪安全管理制度和保管设施建设情况；</w:t>
            </w:r>
            <w:r>
              <w:rPr>
                <w:rFonts w:ascii="仿宋_GB2312" w:hAnsi="仿宋" w:eastAsia="仿宋_GB2312" w:cs="仿宋_GB2312"/>
                <w:color w:val="000000"/>
                <w:spacing w:val="-20"/>
              </w:rPr>
              <w:t>7.</w:t>
            </w:r>
            <w:r>
              <w:rPr>
                <w:rFonts w:hint="eastAsia" w:ascii="仿宋_GB2312" w:hAnsi="仿宋" w:eastAsia="仿宋_GB2312" w:cs="仿宋_GB2312"/>
                <w:color w:val="000000"/>
                <w:spacing w:val="-20"/>
              </w:rPr>
              <w:t>保安员及其服装、保安服务标志与装备管理情况；</w:t>
            </w:r>
            <w:r>
              <w:rPr>
                <w:rFonts w:ascii="仿宋_GB2312" w:hAnsi="仿宋" w:eastAsia="仿宋_GB2312" w:cs="仿宋_GB2312"/>
                <w:color w:val="000000"/>
                <w:spacing w:val="-20"/>
              </w:rPr>
              <w:t>8.</w:t>
            </w:r>
            <w:r>
              <w:rPr>
                <w:rFonts w:hint="eastAsia" w:ascii="仿宋_GB2312" w:hAnsi="仿宋" w:eastAsia="仿宋_GB2312" w:cs="仿宋_GB2312"/>
                <w:color w:val="000000"/>
                <w:spacing w:val="-20"/>
              </w:rPr>
              <w:t>保安员在岗培训和权益保障工作落实情况；</w:t>
            </w:r>
            <w:r>
              <w:rPr>
                <w:rFonts w:ascii="仿宋_GB2312" w:hAnsi="仿宋" w:eastAsia="仿宋_GB2312" w:cs="仿宋_GB2312"/>
                <w:color w:val="000000"/>
                <w:spacing w:val="-20"/>
              </w:rPr>
              <w:t>9.</w:t>
            </w:r>
            <w:r>
              <w:rPr>
                <w:rFonts w:hint="eastAsia" w:ascii="仿宋_GB2312" w:hAnsi="仿宋" w:eastAsia="仿宋_GB2312" w:cs="仿宋_GB2312"/>
                <w:color w:val="000000"/>
                <w:spacing w:val="-20"/>
              </w:rPr>
              <w:t>被投诉举报事项纠正情况。二、保安培训单位：</w:t>
            </w:r>
            <w:r>
              <w:rPr>
                <w:rFonts w:ascii="仿宋_GB2312" w:hAnsi="仿宋" w:eastAsia="仿宋_GB2312" w:cs="仿宋_GB2312"/>
                <w:color w:val="000000"/>
                <w:spacing w:val="-20"/>
              </w:rPr>
              <w:t>1.</w:t>
            </w:r>
            <w:r>
              <w:rPr>
                <w:rFonts w:hint="eastAsia" w:ascii="仿宋_GB2312" w:hAnsi="仿宋" w:eastAsia="仿宋_GB2312" w:cs="仿宋_GB2312"/>
                <w:color w:val="000000"/>
                <w:spacing w:val="-20"/>
              </w:rPr>
              <w:t>保安培训单位基本情况；</w:t>
            </w:r>
            <w:r>
              <w:rPr>
                <w:rFonts w:ascii="仿宋_GB2312" w:hAnsi="仿宋" w:eastAsia="仿宋_GB2312" w:cs="仿宋_GB2312"/>
                <w:color w:val="000000"/>
                <w:spacing w:val="-20"/>
              </w:rPr>
              <w:t>2.</w:t>
            </w:r>
            <w:r>
              <w:rPr>
                <w:rFonts w:hint="eastAsia" w:ascii="仿宋_GB2312" w:hAnsi="仿宋" w:eastAsia="仿宋_GB2312" w:cs="仿宋_GB2312"/>
                <w:color w:val="000000"/>
                <w:spacing w:val="-20"/>
              </w:rPr>
              <w:t>保安培训教学情况；</w:t>
            </w:r>
            <w:r>
              <w:rPr>
                <w:rFonts w:ascii="仿宋_GB2312" w:hAnsi="仿宋" w:eastAsia="仿宋_GB2312" w:cs="仿宋_GB2312"/>
                <w:color w:val="000000"/>
                <w:spacing w:val="-20"/>
              </w:rPr>
              <w:t>3.</w:t>
            </w:r>
            <w:r>
              <w:rPr>
                <w:rFonts w:hint="eastAsia" w:ascii="仿宋_GB2312" w:hAnsi="仿宋" w:eastAsia="仿宋_GB2312" w:cs="仿宋_GB2312"/>
                <w:color w:val="000000"/>
                <w:spacing w:val="-20"/>
              </w:rPr>
              <w:t>枪支使用培训单位备案情况和枪支安全管理制度与保管设施建设管理情况。</w:t>
            </w:r>
            <w:r>
              <w:rPr>
                <w:rFonts w:ascii="仿宋_GB2312" w:hAnsi="仿宋" w:eastAsia="仿宋_GB2312" w:cs="仿宋_GB2312"/>
                <w:color w:val="000000"/>
                <w:spacing w:val="-20"/>
              </w:rPr>
              <w:t xml:space="preserve"> </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保安服务公司、培训单位</w:t>
            </w:r>
          </w:p>
        </w:tc>
        <w:tc>
          <w:tcPr>
            <w:tcW w:w="1283"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eastAsia="仿宋_GB2312" w:cs="仿宋_GB2312"/>
                <w:color w:val="000000"/>
                <w:spacing w:val="-20"/>
                <w:sz w:val="24"/>
                <w:szCs w:val="24"/>
              </w:rPr>
              <w:t>书面检查、实地核查</w:t>
            </w: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8"/>
                <w:sz w:val="24"/>
                <w:szCs w:val="24"/>
              </w:rPr>
            </w:pPr>
            <w:r>
              <w:rPr>
                <w:rFonts w:hint="eastAsia" w:ascii="仿宋_GB2312" w:hAnsi="仿宋" w:eastAsia="仿宋_GB2312" w:cs="仿宋_GB2312"/>
                <w:color w:val="000000"/>
                <w:spacing w:val="-28"/>
                <w:sz w:val="24"/>
                <w:szCs w:val="24"/>
              </w:rPr>
              <w:t>《保安服务管理条例》第三条；《公安机关实施保安服务管理条例办法》第四十一条；《保安培训机构管理办法》（公安部令第</w:t>
            </w:r>
            <w:r>
              <w:rPr>
                <w:rFonts w:ascii="仿宋_GB2312" w:hAnsi="仿宋" w:eastAsia="仿宋_GB2312" w:cs="仿宋_GB2312"/>
                <w:color w:val="000000"/>
                <w:spacing w:val="-28"/>
                <w:sz w:val="24"/>
                <w:szCs w:val="24"/>
              </w:rPr>
              <w:t>85</w:t>
            </w:r>
            <w:r>
              <w:rPr>
                <w:rFonts w:hint="eastAsia" w:ascii="仿宋_GB2312" w:hAnsi="仿宋" w:eastAsia="仿宋_GB2312" w:cs="仿宋_GB2312"/>
                <w:color w:val="000000"/>
                <w:spacing w:val="-28"/>
                <w:sz w:val="24"/>
                <w:szCs w:val="24"/>
              </w:rPr>
              <w:t>号）第二十八条</w:t>
            </w:r>
          </w:p>
        </w:tc>
        <w:tc>
          <w:tcPr>
            <w:tcW w:w="1224"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公安分局</w:t>
            </w:r>
          </w:p>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lang w:eastAsia="zh-CN"/>
              </w:rPr>
            </w:pPr>
            <w:r>
              <w:rPr>
                <w:rFonts w:hint="eastAsia" w:ascii="仿宋_GB2312" w:hAnsi="仿宋" w:eastAsia="仿宋_GB2312" w:cs="仿宋_GB2312"/>
                <w:color w:val="000000"/>
                <w:spacing w:val="-30"/>
                <w:sz w:val="24"/>
                <w:szCs w:val="24"/>
                <w:lang w:val="en-US" w:eastAsia="zh-CN"/>
              </w:rPr>
              <w:t>8</w:t>
            </w:r>
          </w:p>
        </w:tc>
        <w:tc>
          <w:tcPr>
            <w:tcW w:w="1228"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银行业金融机构安全检查及安全评估</w:t>
            </w:r>
          </w:p>
        </w:tc>
        <w:tc>
          <w:tcPr>
            <w:tcW w:w="3568"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银行业金融机构履行主体责任人防、物防、技防的检查听。取汇报、实地检查物防技防设施、周边状况、录像回放质量、查阅相关档案资料、测试部分报警对讲功能、询问有关人员</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银行业金融机构</w:t>
            </w:r>
          </w:p>
        </w:tc>
        <w:tc>
          <w:tcPr>
            <w:tcW w:w="1283" w:type="dxa"/>
            <w:vAlign w:val="center"/>
          </w:tcPr>
          <w:p>
            <w:pPr>
              <w:kinsoku w:val="0"/>
              <w:overflowPunct w:val="0"/>
              <w:autoSpaceDE w:val="0"/>
              <w:autoSpaceDN w:val="0"/>
              <w:adjustRightInd w:val="0"/>
              <w:snapToGrid w:val="0"/>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事项检查</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《企业事业单位内部治安保卫条例》《银行营业场所安全防范要求》（</w:t>
            </w:r>
            <w:r>
              <w:rPr>
                <w:rFonts w:ascii="仿宋_GB2312" w:hAnsi="仿宋" w:eastAsia="仿宋_GB2312" w:cs="仿宋_GB2312"/>
                <w:color w:val="000000"/>
                <w:spacing w:val="-30"/>
                <w:sz w:val="24"/>
                <w:szCs w:val="24"/>
              </w:rPr>
              <w:t>GA38—2015</w:t>
            </w:r>
            <w:r>
              <w:rPr>
                <w:rFonts w:hint="eastAsia" w:ascii="仿宋_GB2312" w:hAnsi="仿宋" w:eastAsia="仿宋_GB2312" w:cs="仿宋_GB2312"/>
                <w:color w:val="000000"/>
                <w:spacing w:val="-30"/>
                <w:sz w:val="24"/>
                <w:szCs w:val="24"/>
              </w:rPr>
              <w:t>）、《银行自助设备、自助银行安全防范要求》（</w:t>
            </w:r>
            <w:r>
              <w:rPr>
                <w:rFonts w:ascii="仿宋_GB2312" w:hAnsi="仿宋" w:eastAsia="仿宋_GB2312" w:cs="仿宋_GB2312"/>
                <w:color w:val="000000"/>
                <w:spacing w:val="-30"/>
                <w:sz w:val="24"/>
                <w:szCs w:val="24"/>
              </w:rPr>
              <w:t>GA745-2017</w:t>
            </w:r>
            <w:r>
              <w:rPr>
                <w:rFonts w:hint="eastAsia" w:ascii="仿宋_GB2312" w:hAnsi="仿宋" w:eastAsia="仿宋_GB2312" w:cs="仿宋_GB2312"/>
                <w:color w:val="000000"/>
                <w:spacing w:val="-30"/>
                <w:sz w:val="24"/>
                <w:szCs w:val="24"/>
              </w:rPr>
              <w:t>）、《银行业务库安全防范的要求》（</w:t>
            </w:r>
            <w:r>
              <w:rPr>
                <w:rFonts w:ascii="仿宋_GB2312" w:hAnsi="仿宋" w:eastAsia="仿宋_GB2312" w:cs="仿宋_GB2312"/>
                <w:color w:val="000000"/>
                <w:spacing w:val="-30"/>
                <w:sz w:val="24"/>
                <w:szCs w:val="24"/>
              </w:rPr>
              <w:t>GA858—2010</w:t>
            </w:r>
            <w:r>
              <w:rPr>
                <w:rFonts w:hint="eastAsia" w:ascii="仿宋_GB2312" w:hAnsi="仿宋" w:eastAsia="仿宋_GB2312" w:cs="仿宋_GB2312"/>
                <w:color w:val="000000"/>
                <w:spacing w:val="-30"/>
                <w:sz w:val="24"/>
                <w:szCs w:val="24"/>
              </w:rPr>
              <w:t>）、《银行业金融机构安全评估标准》（公治〔</w:t>
            </w:r>
            <w:r>
              <w:rPr>
                <w:rFonts w:ascii="仿宋_GB2312" w:hAnsi="仿宋" w:eastAsia="仿宋_GB2312" w:cs="仿宋_GB2312"/>
                <w:color w:val="000000"/>
                <w:spacing w:val="-30"/>
                <w:sz w:val="24"/>
                <w:szCs w:val="24"/>
              </w:rPr>
              <w:t>2017</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490</w:t>
            </w:r>
            <w:r>
              <w:rPr>
                <w:rFonts w:hint="eastAsia" w:ascii="仿宋_GB2312" w:hAnsi="仿宋" w:eastAsia="仿宋_GB2312" w:cs="仿宋_GB2312"/>
                <w:color w:val="000000"/>
                <w:spacing w:val="-30"/>
                <w:sz w:val="24"/>
                <w:szCs w:val="24"/>
              </w:rPr>
              <w:t>号）</w:t>
            </w:r>
          </w:p>
        </w:tc>
        <w:tc>
          <w:tcPr>
            <w:tcW w:w="1224" w:type="dxa"/>
            <w:vMerge w:val="restart"/>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公安分局</w:t>
            </w:r>
          </w:p>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702"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lang w:eastAsia="zh-CN"/>
              </w:rPr>
            </w:pPr>
            <w:r>
              <w:rPr>
                <w:rFonts w:hint="eastAsia" w:ascii="仿宋_GB2312" w:hAnsi="仿宋" w:eastAsia="仿宋_GB2312" w:cs="仿宋_GB2312"/>
                <w:color w:val="000000"/>
                <w:spacing w:val="-30"/>
                <w:sz w:val="24"/>
                <w:szCs w:val="24"/>
                <w:lang w:val="en-US" w:eastAsia="zh-CN"/>
              </w:rPr>
              <w:t>9</w:t>
            </w:r>
          </w:p>
        </w:tc>
        <w:tc>
          <w:tcPr>
            <w:tcW w:w="1228"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易制毒化学品相关单位安全检查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0"/>
                <w:sz w:val="24"/>
                <w:szCs w:val="24"/>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rPr>
              <w:t>易制毒化学品的购买备案证明、销售台账和运输许可证明及登记制度落实；</w:t>
            </w:r>
            <w:r>
              <w:rPr>
                <w:rFonts w:ascii="仿宋_GB2312" w:hAnsi="仿宋" w:eastAsia="仿宋_GB2312" w:cs="仿宋_GB2312"/>
                <w:color w:val="000000"/>
                <w:spacing w:val="-30"/>
                <w:sz w:val="24"/>
                <w:szCs w:val="24"/>
              </w:rPr>
              <w:t>2.</w:t>
            </w:r>
            <w:r>
              <w:rPr>
                <w:rFonts w:hint="eastAsia" w:ascii="仿宋_GB2312" w:hAnsi="仿宋" w:eastAsia="仿宋_GB2312" w:cs="仿宋_GB2312"/>
                <w:color w:val="000000"/>
                <w:spacing w:val="-30"/>
                <w:sz w:val="24"/>
                <w:szCs w:val="24"/>
              </w:rPr>
              <w:t>内部安全管理制度的建立和落实；</w:t>
            </w:r>
            <w:r>
              <w:rPr>
                <w:rFonts w:ascii="仿宋_GB2312" w:hAnsi="仿宋" w:eastAsia="仿宋_GB2312" w:cs="仿宋_GB2312"/>
                <w:color w:val="000000"/>
                <w:spacing w:val="-30"/>
                <w:sz w:val="24"/>
                <w:szCs w:val="24"/>
              </w:rPr>
              <w:t>3.</w:t>
            </w:r>
            <w:r>
              <w:rPr>
                <w:rFonts w:hint="eastAsia" w:ascii="仿宋_GB2312" w:hAnsi="仿宋" w:eastAsia="仿宋_GB2312" w:cs="仿宋_GB2312"/>
                <w:color w:val="000000"/>
                <w:spacing w:val="-30"/>
                <w:sz w:val="24"/>
                <w:szCs w:val="24"/>
              </w:rPr>
              <w:t>仓储的出入库登记和人防、物防、技防落实；</w:t>
            </w:r>
            <w:r>
              <w:rPr>
                <w:rFonts w:ascii="仿宋_GB2312" w:hAnsi="仿宋" w:eastAsia="仿宋_GB2312" w:cs="仿宋_GB2312"/>
                <w:color w:val="000000"/>
                <w:spacing w:val="-30"/>
                <w:sz w:val="24"/>
                <w:szCs w:val="24"/>
              </w:rPr>
              <w:t>4.</w:t>
            </w:r>
            <w:r>
              <w:rPr>
                <w:rFonts w:hint="eastAsia" w:ascii="仿宋_GB2312" w:hAnsi="仿宋" w:eastAsia="仿宋_GB2312" w:cs="仿宋_GB2312"/>
                <w:color w:val="000000"/>
                <w:spacing w:val="-30"/>
                <w:sz w:val="24"/>
                <w:szCs w:val="24"/>
              </w:rPr>
              <w:t>现场使用情况的检查。</w:t>
            </w:r>
          </w:p>
        </w:tc>
        <w:tc>
          <w:tcPr>
            <w:tcW w:w="1283" w:type="dxa"/>
            <w:tcBorders>
              <w:bottom w:val="single" w:color="auto" w:sz="4" w:space="0"/>
            </w:tcBorders>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易制毒化学品相关单位</w:t>
            </w:r>
          </w:p>
        </w:tc>
        <w:tc>
          <w:tcPr>
            <w:tcW w:w="1283" w:type="dxa"/>
            <w:tcBorders>
              <w:bottom w:val="single" w:color="auto" w:sz="4" w:space="0"/>
            </w:tcBorders>
            <w:vAlign w:val="center"/>
          </w:tcPr>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重点</w:t>
            </w:r>
          </w:p>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《易制毒化学品管理条例》第三条、《易制毒化学品购销和运输管理办法》（公安部令第</w:t>
            </w:r>
            <w:r>
              <w:rPr>
                <w:rFonts w:ascii="仿宋_GB2312" w:hAnsi="仿宋" w:eastAsia="仿宋_GB2312" w:cs="仿宋_GB2312"/>
                <w:color w:val="000000"/>
                <w:spacing w:val="-30"/>
                <w:sz w:val="24"/>
                <w:szCs w:val="24"/>
              </w:rPr>
              <w:t>87</w:t>
            </w:r>
            <w:r>
              <w:rPr>
                <w:rFonts w:hint="eastAsia" w:ascii="仿宋_GB2312" w:hAnsi="仿宋" w:eastAsia="仿宋_GB2312" w:cs="仿宋_GB2312"/>
                <w:color w:val="000000"/>
                <w:spacing w:val="-30"/>
                <w:sz w:val="24"/>
                <w:szCs w:val="24"/>
              </w:rPr>
              <w:t>号）第二条</w:t>
            </w:r>
          </w:p>
        </w:tc>
        <w:tc>
          <w:tcPr>
            <w:tcW w:w="1224" w:type="dxa"/>
            <w:vMerge w:val="continue"/>
            <w:tcBorders>
              <w:bottom w:val="single" w:color="auto" w:sz="4" w:space="0"/>
            </w:tcBorders>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702" w:type="dxa"/>
            <w:vAlign w:val="center"/>
          </w:tcPr>
          <w:p>
            <w:pPr>
              <w:spacing w:line="280" w:lineRule="exact"/>
              <w:jc w:val="center"/>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10</w:t>
            </w:r>
          </w:p>
        </w:tc>
        <w:tc>
          <w:tcPr>
            <w:tcW w:w="1228" w:type="dxa"/>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对民用枪支弹药从业单位的安全监督检查</w:t>
            </w:r>
          </w:p>
        </w:tc>
        <w:tc>
          <w:tcPr>
            <w:tcW w:w="3568" w:type="dxa"/>
            <w:vAlign w:val="center"/>
          </w:tcPr>
          <w:p>
            <w:pPr>
              <w:spacing w:line="280" w:lineRule="exact"/>
              <w:rPr>
                <w:rFonts w:ascii="仿宋_GB2312" w:hAnsi="仿宋" w:eastAsia="仿宋_GB2312"/>
                <w:color w:val="000000"/>
                <w:spacing w:val="-30"/>
                <w:sz w:val="24"/>
                <w:szCs w:val="24"/>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rPr>
              <w:t>配枪数量、种类、来源；</w:t>
            </w:r>
            <w:r>
              <w:rPr>
                <w:rFonts w:ascii="仿宋_GB2312" w:hAnsi="仿宋" w:eastAsia="仿宋_GB2312" w:cs="仿宋_GB2312"/>
                <w:color w:val="000000"/>
                <w:spacing w:val="-30"/>
                <w:sz w:val="24"/>
                <w:szCs w:val="24"/>
              </w:rPr>
              <w:t>2</w:t>
            </w:r>
            <w:r>
              <w:rPr>
                <w:rFonts w:hint="eastAsia" w:ascii="仿宋_GB2312" w:hAnsi="仿宋" w:eastAsia="仿宋_GB2312" w:cs="仿宋_GB2312"/>
                <w:color w:val="000000"/>
                <w:spacing w:val="-30"/>
                <w:sz w:val="24"/>
                <w:szCs w:val="24"/>
              </w:rPr>
              <w:t>、配枪人员条件、培训情况；</w:t>
            </w:r>
            <w:r>
              <w:rPr>
                <w:rFonts w:ascii="仿宋_GB2312" w:hAnsi="仿宋" w:eastAsia="仿宋_GB2312" w:cs="仿宋_GB2312"/>
                <w:color w:val="000000"/>
                <w:spacing w:val="-30"/>
                <w:sz w:val="24"/>
                <w:szCs w:val="24"/>
              </w:rPr>
              <w:t>3</w:t>
            </w:r>
            <w:r>
              <w:rPr>
                <w:rFonts w:hint="eastAsia" w:ascii="仿宋_GB2312" w:hAnsi="仿宋" w:eastAsia="仿宋_GB2312" w:cs="仿宋_GB2312"/>
                <w:color w:val="000000"/>
                <w:spacing w:val="-30"/>
                <w:sz w:val="24"/>
                <w:szCs w:val="24"/>
              </w:rPr>
              <w:t>、枪弹库（室）情况；</w:t>
            </w:r>
            <w:r>
              <w:rPr>
                <w:rFonts w:ascii="仿宋_GB2312" w:hAnsi="仿宋" w:eastAsia="仿宋_GB2312" w:cs="仿宋_GB2312"/>
                <w:color w:val="000000"/>
                <w:spacing w:val="-30"/>
                <w:sz w:val="24"/>
                <w:szCs w:val="24"/>
              </w:rPr>
              <w:t>4</w:t>
            </w:r>
            <w:r>
              <w:rPr>
                <w:rFonts w:hint="eastAsia" w:ascii="仿宋_GB2312" w:hAnsi="仿宋" w:eastAsia="仿宋_GB2312" w:cs="仿宋_GB2312"/>
                <w:color w:val="000000"/>
                <w:spacing w:val="-30"/>
                <w:sz w:val="24"/>
                <w:szCs w:val="24"/>
              </w:rPr>
              <w:t>、枪支管理各项制度落实情况；</w:t>
            </w:r>
            <w:r>
              <w:rPr>
                <w:rFonts w:ascii="仿宋_GB2312" w:hAnsi="仿宋" w:eastAsia="仿宋_GB2312" w:cs="仿宋_GB2312"/>
                <w:color w:val="000000"/>
                <w:spacing w:val="-30"/>
                <w:sz w:val="24"/>
                <w:szCs w:val="24"/>
              </w:rPr>
              <w:t>5</w:t>
            </w:r>
            <w:r>
              <w:rPr>
                <w:rFonts w:hint="eastAsia" w:ascii="仿宋_GB2312" w:hAnsi="仿宋" w:eastAsia="仿宋_GB2312" w:cs="仿宋_GB2312"/>
                <w:color w:val="000000"/>
                <w:spacing w:val="-30"/>
                <w:sz w:val="24"/>
                <w:szCs w:val="24"/>
              </w:rPr>
              <w:t>、枪支、弹药使用情况；</w:t>
            </w:r>
            <w:r>
              <w:rPr>
                <w:rFonts w:ascii="仿宋_GB2312" w:hAnsi="仿宋" w:eastAsia="仿宋_GB2312" w:cs="仿宋_GB2312"/>
                <w:color w:val="000000"/>
                <w:spacing w:val="-30"/>
                <w:sz w:val="24"/>
                <w:szCs w:val="24"/>
              </w:rPr>
              <w:t>6</w:t>
            </w:r>
            <w:r>
              <w:rPr>
                <w:rFonts w:hint="eastAsia" w:ascii="仿宋_GB2312" w:hAnsi="仿宋" w:eastAsia="仿宋_GB2312" w:cs="仿宋_GB2312"/>
                <w:color w:val="000000"/>
                <w:spacing w:val="-30"/>
                <w:sz w:val="24"/>
                <w:szCs w:val="24"/>
              </w:rPr>
              <w:t>、其他需要检查的项目</w:t>
            </w:r>
          </w:p>
        </w:tc>
        <w:tc>
          <w:tcPr>
            <w:tcW w:w="1283" w:type="dxa"/>
            <w:tcBorders>
              <w:top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营业性射击场所、民用枪支弹药从业单位</w:t>
            </w:r>
          </w:p>
        </w:tc>
        <w:tc>
          <w:tcPr>
            <w:tcW w:w="1283" w:type="dxa"/>
            <w:tcBorders>
              <w:top w:val="single" w:color="auto" w:sz="4" w:space="0"/>
            </w:tcBorders>
            <w:vAlign w:val="center"/>
          </w:tcPr>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重点</w:t>
            </w:r>
          </w:p>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tcBorders>
              <w:bottom w:val="single" w:color="auto" w:sz="4" w:space="0"/>
            </w:tcBorders>
            <w:vAlign w:val="center"/>
          </w:tcPr>
          <w:p>
            <w:pPr>
              <w:spacing w:line="280" w:lineRule="exact"/>
              <w:jc w:val="center"/>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tcBorders>
              <w:top w:val="single" w:color="auto" w:sz="4" w:space="0"/>
              <w:bottom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《枪支管理法》第四条，县级以上地方各级人民政府公安机关主管本行政区域内的枪支管理工作。</w:t>
            </w:r>
          </w:p>
        </w:tc>
        <w:tc>
          <w:tcPr>
            <w:tcW w:w="1224" w:type="dxa"/>
            <w:tcBorders>
              <w:top w:val="single" w:color="auto" w:sz="4" w:space="0"/>
              <w:bottom w:val="single" w:color="auto" w:sz="4" w:space="0"/>
            </w:tcBorders>
            <w:vAlign w:val="center"/>
          </w:tcPr>
          <w:p>
            <w:pPr>
              <w:jc w:val="center"/>
              <w:rPr>
                <w:rFonts w:ascii="宋体"/>
                <w:b/>
                <w:bCs/>
                <w:color w:val="000000"/>
                <w:sz w:val="24"/>
                <w:szCs w:val="24"/>
              </w:rPr>
            </w:pPr>
            <w:r>
              <w:rPr>
                <w:rFonts w:hint="eastAsia" w:ascii="仿宋_GB2312" w:hAnsi="仿宋" w:eastAsia="仿宋_GB2312" w:cs="仿宋_GB2312"/>
                <w:color w:val="000000"/>
                <w:spacing w:val="-20"/>
                <w:sz w:val="24"/>
                <w:szCs w:val="24"/>
              </w:rPr>
              <w:t>公安分局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atLeast"/>
        </w:trPr>
        <w:tc>
          <w:tcPr>
            <w:tcW w:w="702" w:type="dxa"/>
            <w:vAlign w:val="center"/>
          </w:tcPr>
          <w:p>
            <w:pPr>
              <w:spacing w:line="280" w:lineRule="exact"/>
              <w:jc w:val="center"/>
              <w:rPr>
                <w:rFonts w:hint="eastAsia" w:ascii="仿宋_GB2312" w:hAnsi="仿宋" w:eastAsia="仿宋_GB2312" w:cs="仿宋_GB2312"/>
                <w:color w:val="000000"/>
                <w:spacing w:val="-30"/>
                <w:sz w:val="24"/>
                <w:szCs w:val="24"/>
                <w:lang w:val="en-US" w:eastAsia="zh-CN"/>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lang w:val="en-US" w:eastAsia="zh-CN"/>
              </w:rPr>
              <w:t>1</w:t>
            </w:r>
          </w:p>
        </w:tc>
        <w:tc>
          <w:tcPr>
            <w:tcW w:w="1228" w:type="dxa"/>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大型焰火燃放作业单位、作业人员安全监督检查</w:t>
            </w:r>
          </w:p>
        </w:tc>
        <w:tc>
          <w:tcPr>
            <w:tcW w:w="3568" w:type="dxa"/>
            <w:vAlign w:val="center"/>
          </w:tcPr>
          <w:p>
            <w:pPr>
              <w:spacing w:line="280" w:lineRule="exact"/>
              <w:rPr>
                <w:rFonts w:ascii="仿宋_GB2312" w:hAnsi="仿宋" w:eastAsia="仿宋_GB2312"/>
                <w:color w:val="000000"/>
                <w:spacing w:val="-30"/>
                <w:sz w:val="24"/>
                <w:szCs w:val="24"/>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rPr>
              <w:t>大型焰火燃放作业单位、作业人员是否依法依规组织开展相关从业活动情况；</w:t>
            </w:r>
            <w:r>
              <w:rPr>
                <w:rFonts w:ascii="仿宋_GB2312" w:hAnsi="仿宋" w:eastAsia="仿宋_GB2312" w:cs="仿宋_GB2312"/>
                <w:color w:val="000000"/>
                <w:spacing w:val="-30"/>
                <w:sz w:val="24"/>
                <w:szCs w:val="24"/>
              </w:rPr>
              <w:t>2.</w:t>
            </w:r>
            <w:r>
              <w:rPr>
                <w:rFonts w:hint="eastAsia" w:ascii="仿宋_GB2312" w:hAnsi="仿宋" w:eastAsia="仿宋_GB2312" w:cs="仿宋_GB2312"/>
                <w:color w:val="000000"/>
                <w:spacing w:val="-30"/>
                <w:sz w:val="24"/>
                <w:szCs w:val="24"/>
              </w:rPr>
              <w:t>大型焰火燃放作业单位是否建立健全各项安全管理制度，落实人防、物防、技防等安全防范措施；</w:t>
            </w:r>
            <w:r>
              <w:rPr>
                <w:rFonts w:ascii="仿宋_GB2312" w:hAnsi="仿宋" w:eastAsia="仿宋_GB2312" w:cs="仿宋_GB2312"/>
                <w:color w:val="000000"/>
                <w:spacing w:val="-30"/>
                <w:sz w:val="24"/>
                <w:szCs w:val="24"/>
              </w:rPr>
              <w:t>3.</w:t>
            </w:r>
            <w:r>
              <w:rPr>
                <w:rFonts w:hint="eastAsia" w:ascii="仿宋_GB2312" w:hAnsi="仿宋" w:eastAsia="仿宋_GB2312" w:cs="仿宋_GB2312"/>
                <w:color w:val="000000"/>
                <w:spacing w:val="-30"/>
                <w:sz w:val="24"/>
                <w:szCs w:val="24"/>
              </w:rPr>
              <w:t>大型焰火燃放作业单位、作业人员的资质条件是否发生变化，是否存在应当变更、撤销、注销等情形。</w:t>
            </w:r>
          </w:p>
        </w:tc>
        <w:tc>
          <w:tcPr>
            <w:tcW w:w="1283" w:type="dxa"/>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大型焰火燃放作业单位</w:t>
            </w:r>
          </w:p>
        </w:tc>
        <w:tc>
          <w:tcPr>
            <w:tcW w:w="1283" w:type="dxa"/>
            <w:vAlign w:val="center"/>
          </w:tcPr>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重点</w:t>
            </w:r>
          </w:p>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tcBorders>
              <w:top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tcBorders>
              <w:top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《烟花爆竹安全管理条例》（国务院第</w:t>
            </w:r>
            <w:r>
              <w:rPr>
                <w:rFonts w:ascii="仿宋_GB2312" w:hAnsi="仿宋" w:eastAsia="仿宋_GB2312" w:cs="仿宋_GB2312"/>
                <w:color w:val="000000"/>
                <w:spacing w:val="-30"/>
                <w:sz w:val="24"/>
                <w:szCs w:val="24"/>
              </w:rPr>
              <w:t>455</w:t>
            </w:r>
            <w:r>
              <w:rPr>
                <w:rFonts w:hint="eastAsia" w:ascii="仿宋_GB2312" w:hAnsi="仿宋" w:eastAsia="仿宋_GB2312" w:cs="仿宋_GB2312"/>
                <w:color w:val="000000"/>
                <w:spacing w:val="-30"/>
                <w:sz w:val="24"/>
                <w:szCs w:val="24"/>
              </w:rPr>
              <w:t>号令）第四条、《大型焰火燃放作业单位资质条件及管理》、《大型焰火燃放作业人员资格条件及管理》</w:t>
            </w:r>
          </w:p>
        </w:tc>
        <w:tc>
          <w:tcPr>
            <w:tcW w:w="1224" w:type="dxa"/>
            <w:tcBorders>
              <w:top w:val="single" w:color="auto" w:sz="4" w:space="0"/>
            </w:tcBorders>
            <w:vAlign w:val="center"/>
          </w:tcPr>
          <w:p>
            <w:pPr>
              <w:jc w:val="center"/>
              <w:rPr>
                <w:rFonts w:ascii="宋体"/>
                <w:b/>
                <w:bCs/>
                <w:color w:val="000000"/>
                <w:sz w:val="24"/>
                <w:szCs w:val="24"/>
              </w:rPr>
            </w:pPr>
            <w:r>
              <w:rPr>
                <w:rFonts w:hint="eastAsia" w:ascii="仿宋_GB2312" w:hAnsi="仿宋" w:eastAsia="仿宋_GB2312" w:cs="仿宋_GB2312"/>
                <w:color w:val="000000"/>
                <w:spacing w:val="-20"/>
                <w:sz w:val="24"/>
                <w:szCs w:val="24"/>
              </w:rPr>
              <w:t>公安分局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3" w:hRule="atLeast"/>
        </w:trPr>
        <w:tc>
          <w:tcPr>
            <w:tcW w:w="702" w:type="dxa"/>
            <w:vAlign w:val="center"/>
          </w:tcPr>
          <w:p>
            <w:pPr>
              <w:kinsoku w:val="0"/>
              <w:overflowPunct w:val="0"/>
              <w:autoSpaceDE w:val="0"/>
              <w:autoSpaceDN w:val="0"/>
              <w:adjustRightInd w:val="0"/>
              <w:snapToGrid w:val="0"/>
              <w:spacing w:line="360" w:lineRule="exact"/>
              <w:jc w:val="center"/>
              <w:rPr>
                <w:rFonts w:hint="eastAsia" w:ascii="仿宋_GB2312" w:hAnsi="宋体" w:eastAsia="仿宋_GB2312" w:cs="仿宋_GB2312"/>
                <w:color w:val="000000"/>
                <w:spacing w:val="-20"/>
                <w:sz w:val="24"/>
                <w:szCs w:val="24"/>
                <w:lang w:val="en-US" w:eastAsia="zh-CN"/>
              </w:rPr>
            </w:pPr>
            <w:r>
              <w:rPr>
                <w:rFonts w:ascii="仿宋_GB2312" w:hAnsi="宋体" w:eastAsia="仿宋_GB2312" w:cs="仿宋_GB2312"/>
                <w:color w:val="000000"/>
                <w:spacing w:val="-20"/>
                <w:sz w:val="24"/>
                <w:szCs w:val="24"/>
              </w:rPr>
              <w:t>1</w:t>
            </w:r>
            <w:r>
              <w:rPr>
                <w:rFonts w:hint="eastAsia" w:ascii="仿宋_GB2312" w:hAnsi="宋体" w:eastAsia="仿宋_GB2312" w:cs="仿宋_GB2312"/>
                <w:color w:val="000000"/>
                <w:spacing w:val="-20"/>
                <w:sz w:val="24"/>
                <w:szCs w:val="24"/>
                <w:lang w:val="en-US" w:eastAsia="zh-CN"/>
              </w:rPr>
              <w:t>2</w:t>
            </w:r>
          </w:p>
          <w:p>
            <w:pPr>
              <w:kinsoku w:val="0"/>
              <w:overflowPunct w:val="0"/>
              <w:autoSpaceDE w:val="0"/>
              <w:autoSpaceDN w:val="0"/>
              <w:adjustRightInd w:val="0"/>
              <w:snapToGrid w:val="0"/>
              <w:spacing w:line="360" w:lineRule="exact"/>
              <w:jc w:val="center"/>
              <w:rPr>
                <w:rFonts w:ascii="仿宋_GB2312" w:hAnsi="宋体" w:eastAsia="仿宋_GB2312" w:cs="仿宋_GB2312"/>
                <w:color w:val="000000"/>
                <w:spacing w:val="-20"/>
                <w:sz w:val="24"/>
                <w:szCs w:val="24"/>
              </w:rPr>
            </w:pPr>
          </w:p>
        </w:tc>
        <w:tc>
          <w:tcPr>
            <w:tcW w:w="1228" w:type="dxa"/>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劳动用工监管</w:t>
            </w:r>
          </w:p>
        </w:tc>
        <w:tc>
          <w:tcPr>
            <w:tcW w:w="3568" w:type="dxa"/>
            <w:vAlign w:val="center"/>
          </w:tcPr>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用人单位制定内部劳动保障规章制度情况；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2.</w:t>
            </w:r>
            <w:r>
              <w:rPr>
                <w:rFonts w:hint="eastAsia" w:ascii="仿宋_GB2312" w:eastAsia="仿宋_GB2312" w:cs="仿宋_GB2312"/>
                <w:color w:val="000000"/>
                <w:spacing w:val="-20"/>
                <w:sz w:val="24"/>
                <w:szCs w:val="24"/>
              </w:rPr>
              <w:t>用人单位与劳动者签订劳动合同情况；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3.</w:t>
            </w:r>
            <w:r>
              <w:rPr>
                <w:rFonts w:hint="eastAsia" w:ascii="仿宋_GB2312" w:eastAsia="仿宋_GB2312" w:cs="仿宋_GB2312"/>
                <w:color w:val="000000"/>
                <w:spacing w:val="-20"/>
                <w:sz w:val="24"/>
                <w:szCs w:val="24"/>
              </w:rPr>
              <w:t>用人单位遵守禁止使用童工情况；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用人单位遵守工作时间和休息休假规定情况；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5.</w:t>
            </w:r>
            <w:r>
              <w:rPr>
                <w:rFonts w:hint="eastAsia" w:ascii="仿宋_GB2312" w:eastAsia="仿宋_GB2312" w:cs="仿宋_GB2312"/>
                <w:color w:val="000000"/>
                <w:spacing w:val="-20"/>
                <w:sz w:val="24"/>
                <w:szCs w:val="24"/>
              </w:rPr>
              <w:t>用人单位遵守女职工和未成年工特殊劳动保护规定情况；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6.</w:t>
            </w:r>
            <w:r>
              <w:rPr>
                <w:rFonts w:hint="eastAsia" w:ascii="仿宋_GB2312" w:eastAsia="仿宋_GB2312" w:cs="仿宋_GB2312"/>
                <w:color w:val="000000"/>
                <w:spacing w:val="-20"/>
                <w:sz w:val="24"/>
                <w:szCs w:val="24"/>
              </w:rPr>
              <w:t>用人单位支付劳动者工资和执行最低工资标准情况；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7.</w:t>
            </w:r>
            <w:r>
              <w:rPr>
                <w:rFonts w:hint="eastAsia" w:ascii="仿宋_GB2312" w:eastAsia="仿宋_GB2312" w:cs="仿宋_GB2312"/>
                <w:color w:val="000000"/>
                <w:spacing w:val="-20"/>
                <w:sz w:val="24"/>
                <w:szCs w:val="24"/>
              </w:rPr>
              <w:t>用人单位执行带薪年休假情况；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8.</w:t>
            </w:r>
            <w:r>
              <w:rPr>
                <w:rFonts w:hint="eastAsia" w:ascii="仿宋_GB2312" w:eastAsia="仿宋_GB2312" w:cs="仿宋_GB2312"/>
                <w:color w:val="000000"/>
                <w:spacing w:val="-20"/>
                <w:sz w:val="24"/>
                <w:szCs w:val="24"/>
              </w:rPr>
              <w:t>用人单位对职工个人进行社会保险登记和进行就业登记的情况；</w:t>
            </w:r>
          </w:p>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ascii="仿宋_GB2312" w:eastAsia="仿宋_GB2312" w:cs="仿宋_GB2312"/>
                <w:color w:val="000000"/>
                <w:spacing w:val="-20"/>
                <w:sz w:val="24"/>
                <w:szCs w:val="24"/>
              </w:rPr>
              <w:t>9.</w:t>
            </w:r>
            <w:r>
              <w:rPr>
                <w:rFonts w:hint="eastAsia" w:ascii="仿宋_GB2312" w:eastAsia="仿宋_GB2312" w:cs="仿宋_GB2312"/>
                <w:color w:val="000000"/>
                <w:spacing w:val="-20"/>
                <w:sz w:val="24"/>
                <w:szCs w:val="24"/>
              </w:rPr>
              <w:t>法律、法规、规章规定的其他劳动保障监察及行政执法检查事项。</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各类用人单位(与劳动者建立劳动关系)</w:t>
            </w:r>
          </w:p>
        </w:tc>
        <w:tc>
          <w:tcPr>
            <w:tcW w:w="1283"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《劳动法》、《劳动合同法》、《劳动保障监察条例》、《陕西省劳动保障监察条例》、《陕西省企业工资支付条例》、《禁止使用童工规定》</w:t>
            </w:r>
          </w:p>
        </w:tc>
        <w:tc>
          <w:tcPr>
            <w:tcW w:w="1224"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组织人社部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2" w:hRule="atLeast"/>
        </w:trPr>
        <w:tc>
          <w:tcPr>
            <w:tcW w:w="702" w:type="dxa"/>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13</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劳务派遣用工检查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1、劳务派遣单位是否存在克扣用工单位按照劳务派遣协议支付给被派遣劳动者的劳动报酬的情形；</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2、单位或个人是</w:t>
            </w:r>
            <w:r>
              <w:rPr>
                <w:rFonts w:hint="eastAsia" w:ascii="仿宋_GB2312" w:hAnsi="仿宋" w:eastAsia="仿宋_GB2312" w:cs="仿宋_GB2312"/>
                <w:color w:val="000000"/>
                <w:spacing w:val="-30"/>
                <w:sz w:val="24"/>
                <w:szCs w:val="24"/>
                <w:lang w:eastAsia="zh-CN"/>
              </w:rPr>
              <w:t>否</w:t>
            </w:r>
            <w:r>
              <w:rPr>
                <w:rFonts w:hint="eastAsia" w:ascii="仿宋_GB2312" w:hAnsi="仿宋" w:eastAsia="仿宋_GB2312" w:cs="仿宋_GB2312"/>
                <w:color w:val="000000"/>
                <w:spacing w:val="-30"/>
                <w:sz w:val="24"/>
                <w:szCs w:val="24"/>
              </w:rPr>
              <w:t>存在未经许可，擅自经营劳务派遣业务的情形；</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3、用工单位是</w:t>
            </w:r>
            <w:r>
              <w:rPr>
                <w:rFonts w:hint="eastAsia" w:ascii="仿宋_GB2312" w:hAnsi="仿宋" w:eastAsia="仿宋_GB2312" w:cs="仿宋_GB2312"/>
                <w:color w:val="000000"/>
                <w:spacing w:val="-30"/>
                <w:sz w:val="24"/>
                <w:szCs w:val="24"/>
                <w:lang w:eastAsia="zh-CN"/>
              </w:rPr>
              <w:t>否</w:t>
            </w:r>
            <w:r>
              <w:rPr>
                <w:rFonts w:hint="eastAsia" w:ascii="仿宋_GB2312" w:hAnsi="仿宋" w:eastAsia="仿宋_GB2312" w:cs="仿宋_GB2312"/>
                <w:color w:val="000000"/>
                <w:spacing w:val="-30"/>
                <w:sz w:val="24"/>
                <w:szCs w:val="24"/>
              </w:rPr>
              <w:t>存在在临时性、辅助性或者替代性岗位以</w:t>
            </w:r>
            <w:r>
              <w:rPr>
                <w:rFonts w:hint="eastAsia" w:ascii="仿宋_GB2312" w:hAnsi="仿宋" w:eastAsia="仿宋_GB2312" w:cs="仿宋_GB2312"/>
                <w:color w:val="000000"/>
                <w:spacing w:val="-30"/>
                <w:sz w:val="24"/>
                <w:szCs w:val="24"/>
                <w:lang w:eastAsia="zh-CN"/>
              </w:rPr>
              <w:t>外</w:t>
            </w:r>
            <w:r>
              <w:rPr>
                <w:rFonts w:hint="eastAsia" w:ascii="仿宋_GB2312" w:hAnsi="仿宋" w:eastAsia="仿宋_GB2312" w:cs="仿宋_GB2312"/>
                <w:color w:val="000000"/>
                <w:spacing w:val="-30"/>
                <w:sz w:val="24"/>
                <w:szCs w:val="24"/>
              </w:rPr>
              <w:t>的岗位上使用被派遣劳动者的情形；</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4.劳务派遣用工数量是否超过规定比例。</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劳务派遣单位、个人及用工单位</w:t>
            </w:r>
          </w:p>
        </w:tc>
        <w:tc>
          <w:tcPr>
            <w:tcW w:w="1283"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《劳动法》、《劳动合同法》、《劳动保障监察条例》、《劳务派遣暂行规定》、《劳务派遣行政许可实施办法》、《陕西省劳动保障监察条例》</w:t>
            </w:r>
          </w:p>
        </w:tc>
        <w:tc>
          <w:tcPr>
            <w:tcW w:w="1224" w:type="dxa"/>
            <w:vAlign w:val="center"/>
          </w:tcPr>
          <w:p>
            <w:pPr>
              <w:jc w:val="center"/>
              <w:rPr>
                <w:rFonts w:ascii="宋体"/>
                <w:b/>
                <w:bCs/>
                <w:color w:val="000000"/>
                <w:sz w:val="24"/>
                <w:szCs w:val="24"/>
              </w:rPr>
            </w:pPr>
            <w:r>
              <w:rPr>
                <w:rFonts w:hint="eastAsia" w:ascii="仿宋_GB2312" w:hAnsi="仿宋" w:eastAsia="仿宋_GB2312" w:cs="仿宋_GB2312"/>
                <w:color w:val="000000"/>
                <w:spacing w:val="-30"/>
                <w:sz w:val="24"/>
                <w:szCs w:val="24"/>
              </w:rPr>
              <w:t>组织人社部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702" w:type="dxa"/>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14</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房地产市场秩序监督检查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房地产经纪行为抽查</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房地产经纪机构</w:t>
            </w:r>
          </w:p>
        </w:tc>
        <w:tc>
          <w:tcPr>
            <w:tcW w:w="1283"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住建部《房地产经纪管理办法》</w:t>
            </w:r>
          </w:p>
        </w:tc>
        <w:tc>
          <w:tcPr>
            <w:tcW w:w="1224" w:type="dxa"/>
            <w:tcBorders>
              <w:bottom w:val="nil"/>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02" w:type="dxa"/>
            <w:vMerge w:val="restart"/>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15</w:t>
            </w:r>
          </w:p>
        </w:tc>
        <w:tc>
          <w:tcPr>
            <w:tcW w:w="1228"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燃气经营监督执法检查</w:t>
            </w:r>
          </w:p>
        </w:tc>
        <w:tc>
          <w:tcPr>
            <w:tcW w:w="3568" w:type="dxa"/>
            <w:tcBorders>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对取得燃气经营许可证的企业开展燃气经营业务监督检查。</w:t>
            </w:r>
          </w:p>
        </w:tc>
        <w:tc>
          <w:tcPr>
            <w:tcW w:w="1283"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燃气经营企业</w:t>
            </w:r>
          </w:p>
        </w:tc>
        <w:tc>
          <w:tcPr>
            <w:tcW w:w="1283" w:type="dxa"/>
            <w:vMerge w:val="restart"/>
            <w:vAlign w:val="center"/>
          </w:tcPr>
          <w:p>
            <w:pPr>
              <w:kinsoku w:val="0"/>
              <w:overflowPunct w:val="0"/>
              <w:autoSpaceDE w:val="0"/>
              <w:autoSpaceDN w:val="0"/>
              <w:adjustRightInd w:val="0"/>
              <w:snapToGrid w:val="0"/>
              <w:spacing w:line="280" w:lineRule="exact"/>
              <w:ind w:firstLine="180" w:firstLineChars="100"/>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《城镇燃气管理条例》《陕西省燃气管理条例》《燃气经营许可管理办法》</w:t>
            </w:r>
          </w:p>
        </w:tc>
        <w:tc>
          <w:tcPr>
            <w:tcW w:w="1224" w:type="dxa"/>
            <w:vMerge w:val="restart"/>
            <w:tcBorders>
              <w:top w:val="nil"/>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住房和城乡建设局</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702" w:type="dxa"/>
            <w:vMerge w:val="continue"/>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c>
          <w:tcPr>
            <w:tcW w:w="1228" w:type="dxa"/>
            <w:vMerge w:val="continue"/>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对取得燃气经营许可证的企业开展特种设备使用监督检查。</w:t>
            </w:r>
          </w:p>
        </w:tc>
        <w:tc>
          <w:tcPr>
            <w:tcW w:w="1283" w:type="dxa"/>
            <w:vMerge w:val="continue"/>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p>
        </w:tc>
        <w:tc>
          <w:tcPr>
            <w:tcW w:w="1283" w:type="dxa"/>
            <w:vMerge w:val="continue"/>
            <w:vAlign w:val="center"/>
          </w:tcPr>
          <w:p>
            <w:pPr>
              <w:spacing w:line="300" w:lineRule="exact"/>
              <w:jc w:val="center"/>
              <w:rPr>
                <w:rFonts w:ascii="仿宋_GB2312" w:hAnsi="宋体" w:eastAsia="仿宋_GB2312"/>
                <w:color w:val="000000"/>
                <w:spacing w:val="-30"/>
                <w:sz w:val="24"/>
                <w:szCs w:val="24"/>
              </w:rPr>
            </w:pPr>
          </w:p>
        </w:tc>
        <w:tc>
          <w:tcPr>
            <w:tcW w:w="1267" w:type="dxa"/>
            <w:vMerge w:val="continue"/>
            <w:vAlign w:val="center"/>
          </w:tcPr>
          <w:p>
            <w:pPr>
              <w:kinsoku w:val="0"/>
              <w:overflowPunct w:val="0"/>
              <w:autoSpaceDE w:val="0"/>
              <w:autoSpaceDN w:val="0"/>
              <w:adjustRightInd w:val="0"/>
              <w:snapToGrid w:val="0"/>
              <w:spacing w:line="280" w:lineRule="exact"/>
              <w:jc w:val="center"/>
              <w:rPr>
                <w:rFonts w:ascii="仿宋_GB2312" w:eastAsia="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《中华人民共和国特种设备安全法》</w:t>
            </w:r>
          </w:p>
        </w:tc>
        <w:tc>
          <w:tcPr>
            <w:tcW w:w="1224" w:type="dxa"/>
            <w:vMerge w:val="continue"/>
            <w:tcBorders>
              <w:top w:val="nil"/>
            </w:tcBorders>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702" w:type="dxa"/>
            <w:vMerge w:val="continue"/>
            <w:vAlign w:val="center"/>
          </w:tcPr>
          <w:p>
            <w:pPr>
              <w:spacing w:line="280" w:lineRule="exact"/>
              <w:jc w:val="center"/>
              <w:rPr>
                <w:rFonts w:ascii="仿宋_GB2312" w:hAnsi="仿宋" w:eastAsia="仿宋_GB2312"/>
                <w:color w:val="000000"/>
                <w:spacing w:val="-30"/>
                <w:sz w:val="24"/>
                <w:szCs w:val="24"/>
              </w:rPr>
            </w:pPr>
          </w:p>
        </w:tc>
        <w:tc>
          <w:tcPr>
            <w:tcW w:w="1228" w:type="dxa"/>
            <w:vMerge w:val="continue"/>
            <w:vAlign w:val="center"/>
          </w:tcPr>
          <w:p>
            <w:pPr>
              <w:kinsoku w:val="0"/>
              <w:overflowPunct w:val="0"/>
              <w:autoSpaceDE w:val="0"/>
              <w:autoSpaceDN w:val="0"/>
              <w:adjustRightInd w:val="0"/>
              <w:snapToGrid w:val="0"/>
              <w:spacing w:line="280" w:lineRule="exact"/>
              <w:rPr>
                <w:rFonts w:ascii="仿宋_GB2312" w:eastAsia="仿宋_GB2312"/>
                <w:color w:val="000000"/>
                <w:spacing w:val="-20"/>
                <w:kern w:val="0"/>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对取得燃气经营许可证的企业开展安全生产综合检查。</w:t>
            </w:r>
          </w:p>
        </w:tc>
        <w:tc>
          <w:tcPr>
            <w:tcW w:w="1283" w:type="dxa"/>
            <w:vMerge w:val="continue"/>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p>
        </w:tc>
        <w:tc>
          <w:tcPr>
            <w:tcW w:w="1283" w:type="dxa"/>
            <w:vMerge w:val="continue"/>
            <w:vAlign w:val="center"/>
          </w:tcPr>
          <w:p>
            <w:pPr>
              <w:spacing w:line="300" w:lineRule="exact"/>
              <w:jc w:val="center"/>
              <w:rPr>
                <w:rFonts w:ascii="仿宋_GB2312" w:hAnsi="宋体" w:eastAsia="仿宋_GB2312"/>
                <w:color w:val="000000"/>
                <w:spacing w:val="-30"/>
                <w:sz w:val="24"/>
                <w:szCs w:val="24"/>
              </w:rPr>
            </w:pPr>
          </w:p>
        </w:tc>
        <w:tc>
          <w:tcPr>
            <w:tcW w:w="1267" w:type="dxa"/>
            <w:vMerge w:val="continue"/>
            <w:vAlign w:val="center"/>
          </w:tcPr>
          <w:p>
            <w:pPr>
              <w:kinsoku w:val="0"/>
              <w:overflowPunct w:val="0"/>
              <w:autoSpaceDE w:val="0"/>
              <w:autoSpaceDN w:val="0"/>
              <w:adjustRightInd w:val="0"/>
              <w:snapToGrid w:val="0"/>
              <w:spacing w:line="280" w:lineRule="exact"/>
              <w:jc w:val="center"/>
              <w:rPr>
                <w:rFonts w:ascii="仿宋_GB2312" w:eastAsia="仿宋_GB2312"/>
                <w:color w:val="000000"/>
                <w:spacing w:val="-20"/>
                <w:sz w:val="24"/>
                <w:szCs w:val="24"/>
              </w:rPr>
            </w:pP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《中华人民共和国安全生产法》</w:t>
            </w:r>
          </w:p>
        </w:tc>
        <w:tc>
          <w:tcPr>
            <w:tcW w:w="1224" w:type="dxa"/>
            <w:vMerge w:val="continue"/>
            <w:tcBorders>
              <w:top w:val="nil"/>
            </w:tcBorders>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702"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lang w:val="en-US" w:eastAsia="zh-CN"/>
              </w:rPr>
              <w:t>6</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物业服务市场监督检查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物业服务行为抽查</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物业服务企业</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《陕西省物业管理条例》、《陕西省物业服务收费管理办法》</w:t>
            </w:r>
          </w:p>
        </w:tc>
        <w:tc>
          <w:tcPr>
            <w:tcW w:w="1224" w:type="dxa"/>
            <w:vMerge w:val="continue"/>
            <w:tcBorders>
              <w:top w:val="nil"/>
            </w:tcBorders>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702" w:type="dxa"/>
            <w:vMerge w:val="restart"/>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17</w:t>
            </w:r>
          </w:p>
        </w:tc>
        <w:tc>
          <w:tcPr>
            <w:tcW w:w="1228"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农业生产资料检查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农药监督检查</w:t>
            </w:r>
          </w:p>
        </w:tc>
        <w:tc>
          <w:tcPr>
            <w:tcW w:w="1283"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全区农资经营门店</w:t>
            </w:r>
          </w:p>
        </w:tc>
        <w:tc>
          <w:tcPr>
            <w:tcW w:w="1283" w:type="dxa"/>
            <w:vMerge w:val="restart"/>
            <w:vAlign w:val="center"/>
          </w:tcPr>
          <w:p>
            <w:pPr>
              <w:kinsoku w:val="0"/>
              <w:overflowPunct w:val="0"/>
              <w:autoSpaceDE w:val="0"/>
              <w:autoSpaceDN w:val="0"/>
              <w:adjustRightInd w:val="0"/>
              <w:snapToGrid w:val="0"/>
              <w:spacing w:line="280" w:lineRule="exact"/>
              <w:ind w:firstLine="180" w:firstLineChars="100"/>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书面检查、实地核查、</w:t>
            </w:r>
          </w:p>
        </w:tc>
        <w:tc>
          <w:tcPr>
            <w:tcW w:w="4407"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《农药管理条例》第三条、第四十一条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《肥料登记管理办法》第六条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《农业机械安全监督管理条例》第九条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《中华人民共和国种子法》第三条、第四十七条第一款、第四十八条第一款、第二款、第五十条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《农作物种子质量监督抽查管理办法》第三条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《兽药管理条例》第三条、第四十四条、第四十六条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《农药管理条例》第三条、第四十一条</w:t>
            </w:r>
          </w:p>
        </w:tc>
        <w:tc>
          <w:tcPr>
            <w:tcW w:w="1224"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农业农村局</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肥料监督检查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通过农业机械推广鉴定的产品及证书监督检查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种子监督检查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兽药监督检查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FF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饲料、饲料添加剂监督抽查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shd w:val="clear" w:color="auto" w:fill="FFFFFF"/>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tcBorders>
              <w:top w:val="single" w:color="auto" w:sz="4" w:space="0"/>
            </w:tcBorders>
            <w:vAlign w:val="center"/>
          </w:tcPr>
          <w:p>
            <w:pPr>
              <w:kinsoku w:val="0"/>
              <w:overflowPunct w:val="0"/>
              <w:autoSpaceDE w:val="0"/>
              <w:autoSpaceDN w:val="0"/>
              <w:adjustRightInd w:val="0"/>
              <w:snapToGrid w:val="0"/>
              <w:spacing w:line="300" w:lineRule="exact"/>
              <w:jc w:val="center"/>
              <w:rPr>
                <w:rFonts w:hint="default" w:ascii="仿宋_GB2312" w:hAnsi="黑体" w:eastAsia="仿宋_GB2312"/>
                <w:color w:val="000000"/>
                <w:spacing w:val="-20"/>
                <w:kern w:val="0"/>
                <w:sz w:val="24"/>
                <w:szCs w:val="24"/>
                <w:lang w:val="en-US" w:eastAsia="zh-CN"/>
              </w:rPr>
            </w:pPr>
            <w:r>
              <w:rPr>
                <w:rFonts w:hint="eastAsia" w:ascii="仿宋_GB2312" w:hAnsi="黑体" w:eastAsia="仿宋_GB2312"/>
                <w:color w:val="000000"/>
                <w:spacing w:val="-20"/>
                <w:kern w:val="0"/>
                <w:sz w:val="24"/>
                <w:szCs w:val="24"/>
                <w:lang w:val="en-US" w:eastAsia="zh-CN"/>
              </w:rPr>
              <w:t>18</w:t>
            </w:r>
          </w:p>
        </w:tc>
        <w:tc>
          <w:tcPr>
            <w:tcW w:w="1228" w:type="dxa"/>
            <w:tcBorders>
              <w:top w:val="nil"/>
              <w:right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4"/>
                <w:sz w:val="24"/>
                <w:szCs w:val="24"/>
              </w:rPr>
            </w:pPr>
            <w:r>
              <w:rPr>
                <w:rFonts w:hint="eastAsia" w:ascii="仿宋_GB2312" w:eastAsia="仿宋_GB2312" w:cs="仿宋_GB2312"/>
                <w:color w:val="000000"/>
                <w:spacing w:val="-24"/>
                <w:sz w:val="24"/>
                <w:szCs w:val="24"/>
              </w:rPr>
              <w:t>再生资源回收经营企业监督检查</w:t>
            </w:r>
          </w:p>
        </w:tc>
        <w:tc>
          <w:tcPr>
            <w:tcW w:w="3568" w:type="dxa"/>
            <w:tcBorders>
              <w:top w:val="single" w:color="auto" w:sz="4" w:space="0"/>
              <w:left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对再生资源回收经营企业的监督检查</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全区再生资源回收站点</w:t>
            </w:r>
          </w:p>
        </w:tc>
        <w:tc>
          <w:tcPr>
            <w:tcW w:w="1283" w:type="dxa"/>
            <w:tcBorders>
              <w:top w:val="single" w:color="auto" w:sz="4" w:space="0"/>
              <w:bottom w:val="single" w:color="auto" w:sz="4" w:space="0"/>
            </w:tcBorders>
            <w:vAlign w:val="center"/>
          </w:tcPr>
          <w:p>
            <w:pPr>
              <w:spacing w:line="300" w:lineRule="exact"/>
              <w:jc w:val="center"/>
              <w:rPr>
                <w:rFonts w:hint="eastAsia" w:ascii="仿宋_GB2312" w:hAnsi="宋体" w:eastAsia="仿宋_GB2312" w:cs="仿宋_GB2312"/>
                <w:color w:val="000000"/>
                <w:spacing w:val="-30"/>
                <w:sz w:val="24"/>
                <w:szCs w:val="24"/>
              </w:rPr>
            </w:pPr>
            <w:r>
              <w:rPr>
                <w:rFonts w:hint="eastAsia" w:ascii="仿宋_GB2312" w:hAnsi="宋体" w:eastAsia="仿宋_GB2312" w:cs="仿宋_GB2312"/>
                <w:color w:val="000000"/>
                <w:spacing w:val="-30"/>
                <w:sz w:val="24"/>
                <w:szCs w:val="24"/>
              </w:rPr>
              <w:t>一般</w:t>
            </w:r>
          </w:p>
          <w:p>
            <w:pPr>
              <w:spacing w:line="300" w:lineRule="exact"/>
              <w:jc w:val="center"/>
              <w:rPr>
                <w:rFonts w:ascii="仿宋_GB2312" w:eastAsia="仿宋_GB2312"/>
                <w:color w:val="000000"/>
                <w:spacing w:val="-20"/>
                <w:sz w:val="24"/>
                <w:szCs w:val="24"/>
              </w:rPr>
            </w:pPr>
            <w:r>
              <w:rPr>
                <w:rFonts w:hint="eastAsia" w:ascii="仿宋_GB2312" w:hAnsi="宋体" w:eastAsia="仿宋_GB2312" w:cs="仿宋_GB2312"/>
                <w:color w:val="000000"/>
                <w:spacing w:val="-30"/>
                <w:sz w:val="24"/>
                <w:szCs w:val="24"/>
              </w:rPr>
              <w:t>检查事项</w:t>
            </w:r>
          </w:p>
        </w:tc>
        <w:tc>
          <w:tcPr>
            <w:tcW w:w="1267" w:type="dxa"/>
            <w:tcBorders>
              <w:top w:val="single" w:color="auto" w:sz="4" w:space="0"/>
              <w:bottom w:val="single" w:color="auto" w:sz="4" w:space="0"/>
            </w:tcBorders>
            <w:vAlign w:val="center"/>
          </w:tcPr>
          <w:p>
            <w:pPr>
              <w:kinsoku w:val="0"/>
              <w:overflowPunct w:val="0"/>
              <w:autoSpaceDE w:val="0"/>
              <w:autoSpaceDN w:val="0"/>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书面核查、</w:t>
            </w:r>
          </w:p>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2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《再生资源回收管理办法》（商务部、发展改革委、公安部、建设部、工商总局、环保总局令</w:t>
            </w:r>
            <w:r>
              <w:rPr>
                <w:rFonts w:ascii="仿宋_GB2312" w:eastAsia="仿宋_GB2312" w:cs="仿宋_GB2312"/>
                <w:color w:val="000000"/>
                <w:spacing w:val="-20"/>
                <w:sz w:val="24"/>
                <w:szCs w:val="24"/>
              </w:rPr>
              <w:t>2007</w:t>
            </w:r>
            <w:r>
              <w:rPr>
                <w:rFonts w:hint="eastAsia" w:ascii="仿宋_GB2312" w:eastAsia="仿宋_GB2312" w:cs="仿宋_GB2312"/>
                <w:color w:val="000000"/>
                <w:spacing w:val="-20"/>
                <w:sz w:val="24"/>
                <w:szCs w:val="24"/>
              </w:rPr>
              <w:t>年第</w:t>
            </w:r>
            <w:r>
              <w:rPr>
                <w:rFonts w:ascii="仿宋_GB2312" w:eastAsia="仿宋_GB2312" w:cs="仿宋_GB2312"/>
                <w:color w:val="000000"/>
                <w:spacing w:val="-20"/>
                <w:sz w:val="24"/>
                <w:szCs w:val="24"/>
              </w:rPr>
              <w:t>8</w:t>
            </w:r>
            <w:r>
              <w:rPr>
                <w:rFonts w:hint="eastAsia" w:ascii="仿宋_GB2312" w:eastAsia="仿宋_GB2312" w:cs="仿宋_GB2312"/>
                <w:color w:val="000000"/>
                <w:spacing w:val="-20"/>
                <w:sz w:val="24"/>
                <w:szCs w:val="24"/>
              </w:rPr>
              <w:t>号）第十五条，第十六条</w:t>
            </w:r>
          </w:p>
        </w:tc>
        <w:tc>
          <w:tcPr>
            <w:tcW w:w="1224" w:type="dxa"/>
            <w:tcBorders>
              <w:top w:val="single" w:color="auto" w:sz="4" w:space="0"/>
              <w:bottom w:val="single" w:color="auto" w:sz="4" w:space="0"/>
              <w:right w:val="single" w:color="auto" w:sz="4" w:space="0"/>
            </w:tcBorders>
            <w:vAlign w:val="center"/>
          </w:tcPr>
          <w:p>
            <w:pPr>
              <w:jc w:val="center"/>
              <w:rPr>
                <w:rFonts w:ascii="宋体"/>
                <w:b/>
                <w:bCs/>
                <w:color w:val="000000"/>
                <w:sz w:val="24"/>
                <w:szCs w:val="24"/>
              </w:rPr>
            </w:pPr>
            <w:r>
              <w:rPr>
                <w:rFonts w:hint="eastAsia" w:ascii="仿宋_GB2312" w:eastAsia="仿宋_GB2312" w:cs="仿宋_GB2312"/>
                <w:color w:val="000000"/>
                <w:spacing w:val="-20"/>
                <w:sz w:val="24"/>
                <w:szCs w:val="24"/>
              </w:rPr>
              <w:t>工信商务局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trPr>
        <w:tc>
          <w:tcPr>
            <w:tcW w:w="702" w:type="dxa"/>
            <w:vAlign w:val="center"/>
          </w:tcPr>
          <w:p>
            <w:pPr>
              <w:kinsoku w:val="0"/>
              <w:overflowPunct w:val="0"/>
              <w:autoSpaceDE w:val="0"/>
              <w:autoSpaceDN w:val="0"/>
              <w:adjustRightInd w:val="0"/>
              <w:snapToGrid w:val="0"/>
              <w:spacing w:line="300" w:lineRule="exact"/>
              <w:jc w:val="center"/>
              <w:rPr>
                <w:rFonts w:hint="eastAsia" w:ascii="仿宋_GB2312" w:hAnsi="黑体" w:eastAsia="仿宋_GB2312"/>
                <w:color w:val="000000"/>
                <w:spacing w:val="-20"/>
                <w:kern w:val="0"/>
                <w:sz w:val="24"/>
                <w:szCs w:val="24"/>
                <w:lang w:val="en-US" w:eastAsia="zh-CN"/>
              </w:rPr>
            </w:pPr>
            <w:r>
              <w:rPr>
                <w:rFonts w:ascii="仿宋_GB2312" w:hAnsi="黑体" w:eastAsia="仿宋_GB2312" w:cs="仿宋_GB2312"/>
                <w:color w:val="000000"/>
                <w:spacing w:val="-20"/>
                <w:sz w:val="24"/>
                <w:szCs w:val="24"/>
              </w:rPr>
              <w:t>1</w:t>
            </w:r>
            <w:r>
              <w:rPr>
                <w:rFonts w:hint="eastAsia" w:ascii="仿宋_GB2312" w:hAnsi="黑体" w:eastAsia="仿宋_GB2312" w:cs="仿宋_GB2312"/>
                <w:color w:val="000000"/>
                <w:spacing w:val="-20"/>
                <w:sz w:val="24"/>
                <w:szCs w:val="24"/>
                <w:lang w:val="en-US" w:eastAsia="zh-CN"/>
              </w:rPr>
              <w:t>9</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报废机动车回收拆解企业回收拆解活动情况检查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企业落实安全生产管理工作等方面执行情况。</w:t>
            </w:r>
          </w:p>
        </w:tc>
        <w:tc>
          <w:tcPr>
            <w:tcW w:w="1283"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全区报废机动车回收拆解企业</w:t>
            </w:r>
          </w:p>
        </w:tc>
        <w:tc>
          <w:tcPr>
            <w:tcW w:w="1283"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《报废机动车回收管理办法实施细则》商务部令2020年第2号</w:t>
            </w:r>
          </w:p>
        </w:tc>
        <w:tc>
          <w:tcPr>
            <w:tcW w:w="1224" w:type="dxa"/>
            <w:tcBorders>
              <w:top w:val="single" w:color="auto" w:sz="4" w:space="0"/>
              <w:right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工信商务局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eastAsia="仿宋_GB2312"/>
                <w:color w:val="000000"/>
                <w:spacing w:val="-20"/>
                <w:sz w:val="24"/>
                <w:szCs w:val="24"/>
                <w:lang w:val="en-US" w:eastAsia="zh-CN"/>
              </w:rPr>
            </w:pPr>
            <w:r>
              <w:rPr>
                <w:rFonts w:hint="eastAsia" w:ascii="仿宋_GB2312" w:eastAsia="仿宋_GB2312"/>
                <w:color w:val="000000"/>
                <w:spacing w:val="-20"/>
                <w:sz w:val="24"/>
                <w:szCs w:val="24"/>
                <w:lang w:val="en-US" w:eastAsia="zh-CN"/>
              </w:rPr>
              <w:t>20</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机动车维修经营活动的监督检查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机动车维修经营活动的监督检查</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机动车维修企业</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《机动车维修管理规定》第四十五条</w:t>
            </w:r>
          </w:p>
        </w:tc>
        <w:tc>
          <w:tcPr>
            <w:tcW w:w="1224"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高新运管所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Merge w:val="restart"/>
            <w:vAlign w:val="center"/>
          </w:tcPr>
          <w:p>
            <w:pPr>
              <w:kinsoku w:val="0"/>
              <w:overflowPunct w:val="0"/>
              <w:autoSpaceDE w:val="0"/>
              <w:autoSpaceDN w:val="0"/>
              <w:adjustRightInd w:val="0"/>
              <w:snapToGrid w:val="0"/>
              <w:spacing w:line="320" w:lineRule="exact"/>
              <w:jc w:val="center"/>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olor w:val="000000"/>
                <w:spacing w:val="-28"/>
                <w:sz w:val="24"/>
                <w:szCs w:val="24"/>
                <w:lang w:val="en-US" w:eastAsia="zh-CN"/>
              </w:rPr>
              <w:t>21</w:t>
            </w:r>
          </w:p>
        </w:tc>
        <w:tc>
          <w:tcPr>
            <w:tcW w:w="1228" w:type="dxa"/>
            <w:vMerge w:val="restart"/>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文化市场</w:t>
            </w:r>
          </w:p>
        </w:tc>
        <w:tc>
          <w:tcPr>
            <w:tcW w:w="3568" w:type="dxa"/>
            <w:tcBorders>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1.歌舞娱乐场所的歌曲点播系统是否存在与境外曲库联接的行为，是否存在违禁歌曲；</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2.是否按照规定建立从业人员名簿、营业日志；</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3.是否按照规定悬挂娱乐经营许可证、警示标志、未成年人禁入或者限入标志</w:t>
            </w:r>
          </w:p>
        </w:tc>
        <w:tc>
          <w:tcPr>
            <w:tcW w:w="1283" w:type="dxa"/>
            <w:tcBorders>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歌舞娱乐场所</w:t>
            </w:r>
          </w:p>
        </w:tc>
        <w:tc>
          <w:tcPr>
            <w:tcW w:w="1283" w:type="dxa"/>
            <w:vMerge w:val="restart"/>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一般检查</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事项</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1267" w:type="dxa"/>
            <w:vMerge w:val="restart"/>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书面核查、</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《娱乐场所管理条例》</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《娱乐场所管理办法》</w:t>
            </w:r>
          </w:p>
        </w:tc>
        <w:tc>
          <w:tcPr>
            <w:tcW w:w="1224"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宣传部（文旅广电局）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1.游艺娱乐场所设置是否存在未经文化主管部门内容核查的游戏游艺设备等行为；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2.是否按照规定建立从业人员名簿、营业日志；</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3.是否按照规定悬挂娱乐经营许可证、警示标志、未成年人禁入或者限入标志</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游戏游艺娱乐</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场所</w:t>
            </w:r>
          </w:p>
        </w:tc>
        <w:tc>
          <w:tcPr>
            <w:tcW w:w="1283"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《娱乐场所管理条例》</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《娱乐场所管理办法》</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1.艺术品市场的违法违规行为；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2.登记事项检查。</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艺术品经营单位</w:t>
            </w:r>
          </w:p>
        </w:tc>
        <w:tc>
          <w:tcPr>
            <w:tcW w:w="1283"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《艺术品经营管理办法》</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1.互联网上网服务营业场所经营单位是否存在擅自从事互联网上网服务经营活动的行为；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2.是否存在未按规定核对、登记上网消费者的有效身份证件或者记录有关上网信息等行为；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3.是否存在违规接纳未成年人进入营业场所的行为；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lang w:eastAsia="zh-CN"/>
              </w:rPr>
            </w:pPr>
            <w:r>
              <w:rPr>
                <w:rFonts w:hint="eastAsia" w:ascii="仿宋_GB2312" w:eastAsia="仿宋_GB2312" w:cs="仿宋_GB2312"/>
                <w:color w:val="000000"/>
                <w:spacing w:val="-20"/>
                <w:sz w:val="24"/>
                <w:szCs w:val="24"/>
              </w:rPr>
              <w:t>4.是否存存在擅自停止经营管理技术措施的行为</w:t>
            </w:r>
            <w:r>
              <w:rPr>
                <w:rFonts w:hint="eastAsia" w:ascii="仿宋_GB2312" w:eastAsia="仿宋_GB2312" w:cs="仿宋_GB2312"/>
                <w:color w:val="000000"/>
                <w:spacing w:val="-20"/>
                <w:sz w:val="24"/>
                <w:szCs w:val="24"/>
                <w:lang w:eastAsia="zh-CN"/>
              </w:rPr>
              <w:t>。</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互联网上网服务营业场所</w:t>
            </w:r>
          </w:p>
        </w:tc>
        <w:tc>
          <w:tcPr>
            <w:tcW w:w="1283" w:type="dxa"/>
            <w:vMerge w:val="continue"/>
            <w:vAlign w:val="center"/>
          </w:tcPr>
          <w:p>
            <w:pPr>
              <w:spacing w:line="300" w:lineRule="exact"/>
              <w:jc w:val="center"/>
              <w:rPr>
                <w:rFonts w:ascii="仿宋_GB2312" w:eastAsia="仿宋_GB2312"/>
                <w:color w:val="000000"/>
                <w:spacing w:val="-32"/>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《互联网上网服务营业场所管理条例》</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tcBorders>
              <w:bottom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02" w:type="dxa"/>
            <w:vMerge w:val="continue"/>
            <w:vAlign w:val="center"/>
          </w:tcPr>
          <w:p>
            <w:pPr>
              <w:jc w:val="center"/>
              <w:rPr>
                <w:rFonts w:ascii="宋体" w:cs="宋体"/>
                <w:b/>
                <w:bCs/>
                <w:color w:val="000000"/>
                <w:sz w:val="24"/>
                <w:szCs w:val="24"/>
              </w:rPr>
            </w:pPr>
          </w:p>
        </w:tc>
        <w:tc>
          <w:tcPr>
            <w:tcW w:w="1228" w:type="dxa"/>
            <w:tcBorders>
              <w:top w:val="single" w:color="auto" w:sz="4" w:space="0"/>
              <w:righ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tcBorders>
              <w:top w:val="single" w:color="auto" w:sz="4" w:space="0"/>
              <w:lef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cs="宋体"/>
                <w:b/>
                <w:bCs/>
                <w:color w:val="000000"/>
                <w:sz w:val="24"/>
                <w:szCs w:val="24"/>
              </w:rPr>
            </w:pPr>
          </w:p>
        </w:tc>
        <w:tc>
          <w:tcPr>
            <w:tcW w:w="1283" w:type="dxa"/>
            <w:vMerge w:val="continue"/>
            <w:vAlign w:val="center"/>
          </w:tcPr>
          <w:p>
            <w:pPr>
              <w:jc w:val="center"/>
              <w:rPr>
                <w:rFonts w:ascii="宋体" w:cs="宋体"/>
                <w:b/>
                <w:bCs/>
                <w:color w:val="000000"/>
                <w:sz w:val="24"/>
                <w:szCs w:val="24"/>
              </w:rPr>
            </w:pPr>
          </w:p>
        </w:tc>
        <w:tc>
          <w:tcPr>
            <w:tcW w:w="1267" w:type="dxa"/>
            <w:vMerge w:val="continue"/>
            <w:vAlign w:val="center"/>
          </w:tcPr>
          <w:p>
            <w:pPr>
              <w:jc w:val="center"/>
              <w:rPr>
                <w:rFonts w:ascii="宋体" w:cs="宋体"/>
                <w:b/>
                <w:bCs/>
                <w:color w:val="000000"/>
                <w:sz w:val="24"/>
                <w:szCs w:val="24"/>
              </w:rPr>
            </w:pPr>
          </w:p>
        </w:tc>
        <w:tc>
          <w:tcPr>
            <w:tcW w:w="4407" w:type="dxa"/>
            <w:vMerge w:val="continue"/>
            <w:vAlign w:val="center"/>
          </w:tcPr>
          <w:p>
            <w:pPr>
              <w:jc w:val="center"/>
              <w:rPr>
                <w:rFonts w:ascii="宋体" w:cs="宋体"/>
                <w:b/>
                <w:bCs/>
                <w:color w:val="000000"/>
                <w:sz w:val="24"/>
                <w:szCs w:val="24"/>
              </w:rPr>
            </w:pPr>
          </w:p>
        </w:tc>
        <w:tc>
          <w:tcPr>
            <w:tcW w:w="1224" w:type="dxa"/>
            <w:vMerge w:val="continue"/>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trPr>
        <w:tc>
          <w:tcPr>
            <w:tcW w:w="702" w:type="dxa"/>
            <w:vMerge w:val="restart"/>
            <w:vAlign w:val="center"/>
          </w:tcPr>
          <w:p>
            <w:pPr>
              <w:kinsoku w:val="0"/>
              <w:overflowPunct w:val="0"/>
              <w:autoSpaceDE w:val="0"/>
              <w:autoSpaceDN w:val="0"/>
              <w:adjustRightInd w:val="0"/>
              <w:snapToGrid w:val="0"/>
              <w:spacing w:line="320" w:lineRule="exact"/>
              <w:jc w:val="center"/>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olor w:val="000000"/>
                <w:spacing w:val="-28"/>
                <w:sz w:val="24"/>
                <w:szCs w:val="24"/>
                <w:lang w:val="en-US" w:eastAsia="zh-CN"/>
              </w:rPr>
              <w:t>22</w:t>
            </w:r>
          </w:p>
        </w:tc>
        <w:tc>
          <w:tcPr>
            <w:tcW w:w="1228"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32"/>
                <w:sz w:val="24"/>
                <w:szCs w:val="24"/>
              </w:rPr>
              <w:t>文化市场</w:t>
            </w:r>
          </w:p>
        </w:tc>
        <w:tc>
          <w:tcPr>
            <w:tcW w:w="3568" w:type="dxa"/>
            <w:tcBorders>
              <w:bottom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是否存在擅自从事营业性演出经营活动等行为；</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是否未经批准举办营业性演出；</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3.</w:t>
            </w:r>
            <w:r>
              <w:rPr>
                <w:rFonts w:hint="eastAsia" w:ascii="仿宋_GB2312" w:eastAsia="仿宋_GB2312" w:cs="仿宋_GB2312"/>
                <w:color w:val="000000"/>
                <w:spacing w:val="-20"/>
                <w:kern w:val="0"/>
                <w:sz w:val="24"/>
                <w:szCs w:val="24"/>
              </w:rPr>
              <w:t>营业性演出是否含有法律法规禁止内容；</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ascii="仿宋_GB2312" w:eastAsia="仿宋_GB2312" w:cs="仿宋_GB2312"/>
                <w:color w:val="000000"/>
                <w:spacing w:val="-20"/>
                <w:kern w:val="0"/>
                <w:sz w:val="24"/>
                <w:szCs w:val="24"/>
              </w:rPr>
              <w:t>4.</w:t>
            </w:r>
            <w:r>
              <w:rPr>
                <w:rFonts w:hint="eastAsia" w:ascii="仿宋_GB2312" w:eastAsia="仿宋_GB2312" w:cs="仿宋_GB2312"/>
                <w:color w:val="000000"/>
                <w:spacing w:val="-20"/>
                <w:kern w:val="0"/>
                <w:sz w:val="24"/>
                <w:szCs w:val="24"/>
              </w:rPr>
              <w:t>是否未经批准，擅自出售演出门票</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演出经纪机构</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kern w:val="0"/>
                <w:sz w:val="24"/>
                <w:szCs w:val="24"/>
              </w:rPr>
              <w:t>文艺表演团体</w:t>
            </w:r>
          </w:p>
        </w:tc>
        <w:tc>
          <w:tcPr>
            <w:tcW w:w="1283" w:type="dxa"/>
            <w:vMerge w:val="restart"/>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一般</w:t>
            </w:r>
          </w:p>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书面核查、</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 w:eastAsia="仿宋_GB2312" w:cs="仿宋_GB2312"/>
                <w:color w:val="000000"/>
                <w:spacing w:val="-20"/>
                <w:kern w:val="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ind w:left="31680" w:hanging="100" w:hangingChars="50"/>
              <w:jc w:val="left"/>
              <w:rPr>
                <w:rFonts w:ascii="仿宋_GB2312" w:eastAsia="仿宋_GB2312" w:cs="仿宋_GB2312"/>
                <w:color w:val="000000"/>
                <w:spacing w:val="-20"/>
                <w:kern w:val="0"/>
                <w:sz w:val="24"/>
                <w:szCs w:val="24"/>
              </w:rPr>
            </w:pPr>
            <w:r>
              <w:rPr>
                <w:rFonts w:hint="eastAsia" w:ascii="仿宋_GB2312" w:eastAsia="仿宋_GB2312" w:cs="仿宋_GB2312"/>
                <w:color w:val="000000"/>
                <w:spacing w:val="-20"/>
                <w:kern w:val="0"/>
                <w:sz w:val="24"/>
                <w:szCs w:val="24"/>
              </w:rPr>
              <w:t>《营业性演出管理条例》</w:t>
            </w:r>
            <w:r>
              <w:rPr>
                <w:rFonts w:ascii="仿宋_GB2312" w:eastAsia="仿宋_GB2312" w:cs="仿宋_GB2312"/>
                <w:color w:val="000000"/>
                <w:spacing w:val="-20"/>
                <w:kern w:val="0"/>
                <w:sz w:val="24"/>
                <w:szCs w:val="24"/>
              </w:rPr>
              <w:t xml:space="preserve"> </w:t>
            </w:r>
            <w:r>
              <w:rPr>
                <w:rFonts w:hint="eastAsia" w:ascii="仿宋_GB2312" w:eastAsia="仿宋_GB2312" w:cs="仿宋_GB2312"/>
                <w:color w:val="000000"/>
                <w:spacing w:val="-20"/>
                <w:kern w:val="0"/>
                <w:sz w:val="24"/>
                <w:szCs w:val="24"/>
              </w:rPr>
              <w:t>《营业性演出管理条例实施细则》</w:t>
            </w:r>
            <w:r>
              <w:rPr>
                <w:rFonts w:ascii="仿宋_GB2312" w:eastAsia="仿宋_GB2312" w:cs="仿宋_GB2312"/>
                <w:color w:val="000000"/>
                <w:spacing w:val="-20"/>
                <w:kern w:val="0"/>
                <w:sz w:val="24"/>
                <w:szCs w:val="24"/>
              </w:rPr>
              <w:t xml:space="preserve"> </w:t>
            </w:r>
          </w:p>
        </w:tc>
        <w:tc>
          <w:tcPr>
            <w:tcW w:w="1224"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宣传部（文旅广电局）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20" w:lineRule="exact"/>
              <w:rPr>
                <w:rFonts w:ascii="仿宋_GB2312" w:eastAsia="仿宋_GB2312"/>
                <w:color w:val="000000"/>
                <w:spacing w:val="-32"/>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演出场所经营单位为未经批准的营业性演出提供场地；</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非演出场所经营单位擅自举办演出的行政处罚；</w:t>
            </w:r>
          </w:p>
        </w:tc>
        <w:tc>
          <w:tcPr>
            <w:tcW w:w="1283" w:type="dxa"/>
            <w:tcBorders>
              <w:top w:val="single" w:color="auto" w:sz="4" w:space="0"/>
            </w:tcBorders>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kern w:val="0"/>
                <w:sz w:val="24"/>
                <w:szCs w:val="24"/>
              </w:rPr>
              <w:t>营业性演出场所经营单位</w:t>
            </w:r>
          </w:p>
        </w:tc>
        <w:tc>
          <w:tcPr>
            <w:tcW w:w="1283"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67" w:type="dxa"/>
            <w:vMerge w:val="continue"/>
            <w:tcBorders>
              <w:bottom w:val="single" w:color="auto" w:sz="4" w:space="0"/>
            </w:tcBorders>
            <w:vAlign w:val="center"/>
          </w:tcPr>
          <w:p>
            <w:pPr>
              <w:kinsoku w:val="0"/>
              <w:overflowPunct w:val="0"/>
              <w:autoSpaceDE w:val="0"/>
              <w:autoSpaceDN w:val="0"/>
              <w:adjustRightInd w:val="0"/>
              <w:snapToGrid w:val="0"/>
              <w:spacing w:line="320" w:lineRule="exact"/>
              <w:rPr>
                <w:rFonts w:ascii="仿宋_GB2312" w:eastAsia="仿宋_GB2312"/>
                <w:color w:val="000000"/>
                <w:spacing w:val="-20"/>
                <w:sz w:val="24"/>
                <w:szCs w:val="24"/>
              </w:rPr>
            </w:pP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ind w:left="31680" w:hanging="100" w:hangingChars="50"/>
              <w:jc w:val="left"/>
              <w:rPr>
                <w:rFonts w:ascii="仿宋_GB2312" w:eastAsia="仿宋_GB2312" w:cs="仿宋_GB2312"/>
                <w:color w:val="000000"/>
                <w:spacing w:val="-20"/>
                <w:kern w:val="0"/>
                <w:sz w:val="24"/>
                <w:szCs w:val="24"/>
              </w:rPr>
            </w:pPr>
            <w:r>
              <w:rPr>
                <w:rFonts w:hint="eastAsia" w:ascii="仿宋_GB2312" w:eastAsia="仿宋_GB2312" w:cs="仿宋_GB2312"/>
                <w:color w:val="000000"/>
                <w:spacing w:val="-20"/>
                <w:kern w:val="0"/>
                <w:sz w:val="24"/>
                <w:szCs w:val="24"/>
              </w:rPr>
              <w:t>《营业性演出管理条例》</w:t>
            </w:r>
            <w:r>
              <w:rPr>
                <w:rFonts w:ascii="仿宋_GB2312" w:eastAsia="仿宋_GB2312" w:cs="仿宋_GB2312"/>
                <w:color w:val="000000"/>
                <w:spacing w:val="-20"/>
                <w:kern w:val="0"/>
                <w:sz w:val="24"/>
                <w:szCs w:val="24"/>
              </w:rPr>
              <w:t xml:space="preserve"> </w:t>
            </w:r>
            <w:r>
              <w:rPr>
                <w:rFonts w:hint="eastAsia" w:ascii="仿宋_GB2312" w:eastAsia="仿宋_GB2312" w:cs="仿宋_GB2312"/>
                <w:color w:val="000000"/>
                <w:spacing w:val="-20"/>
                <w:kern w:val="0"/>
                <w:sz w:val="24"/>
                <w:szCs w:val="24"/>
              </w:rPr>
              <w:t>《营业性演出管理条例实施细则》</w:t>
            </w:r>
            <w:r>
              <w:rPr>
                <w:rFonts w:ascii="仿宋_GB2312" w:eastAsia="仿宋_GB2312" w:cs="仿宋_GB2312"/>
                <w:color w:val="000000"/>
                <w:spacing w:val="-20"/>
                <w:kern w:val="0"/>
                <w:sz w:val="24"/>
                <w:szCs w:val="24"/>
              </w:rPr>
              <w:t xml:space="preserve"> </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702" w:type="dxa"/>
            <w:vMerge w:val="restart"/>
            <w:vAlign w:val="center"/>
          </w:tcPr>
          <w:p>
            <w:pPr>
              <w:kinsoku w:val="0"/>
              <w:overflowPunct w:val="0"/>
              <w:autoSpaceDE w:val="0"/>
              <w:autoSpaceDN w:val="0"/>
              <w:adjustRightInd w:val="0"/>
              <w:snapToGrid w:val="0"/>
              <w:spacing w:line="320" w:lineRule="exact"/>
              <w:jc w:val="center"/>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olor w:val="000000"/>
                <w:spacing w:val="-28"/>
                <w:sz w:val="24"/>
                <w:szCs w:val="24"/>
                <w:lang w:val="en-US" w:eastAsia="zh-CN"/>
              </w:rPr>
              <w:t>22</w:t>
            </w:r>
          </w:p>
        </w:tc>
        <w:tc>
          <w:tcPr>
            <w:tcW w:w="1228"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旅游场所</w:t>
            </w:r>
          </w:p>
        </w:tc>
        <w:tc>
          <w:tcPr>
            <w:tcW w:w="3568" w:type="dxa"/>
            <w:tcBorders>
              <w:bottom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设施和服务是否不低于相应的标准；</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未取得质量等级的旅游企业是否使用相关质量等级的称谓和标识。</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3.</w:t>
            </w:r>
            <w:r>
              <w:rPr>
                <w:rFonts w:hint="eastAsia" w:ascii="仿宋_GB2312" w:eastAsia="仿宋_GB2312" w:cs="仿宋_GB2312"/>
                <w:color w:val="000000"/>
                <w:spacing w:val="-20"/>
                <w:kern w:val="0"/>
                <w:sz w:val="24"/>
                <w:szCs w:val="24"/>
              </w:rPr>
              <w:t>登记事项检查。</w:t>
            </w:r>
          </w:p>
        </w:tc>
        <w:tc>
          <w:tcPr>
            <w:tcW w:w="1283"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A</w:t>
            </w:r>
            <w:r>
              <w:rPr>
                <w:rFonts w:hint="eastAsia" w:ascii="仿宋_GB2312" w:eastAsia="仿宋_GB2312" w:cs="仿宋_GB2312"/>
                <w:color w:val="000000"/>
                <w:spacing w:val="-20"/>
                <w:kern w:val="0"/>
                <w:sz w:val="24"/>
                <w:szCs w:val="24"/>
              </w:rPr>
              <w:t>级旅游景区</w:t>
            </w:r>
          </w:p>
          <w:p>
            <w:pPr>
              <w:kinsoku w:val="0"/>
              <w:overflowPunct w:val="0"/>
              <w:autoSpaceDE w:val="0"/>
              <w:autoSpaceDN w:val="0"/>
              <w:adjustRightInd w:val="0"/>
              <w:snapToGrid w:val="0"/>
              <w:spacing w:line="360" w:lineRule="exact"/>
              <w:jc w:val="center"/>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星级饭店</w:t>
            </w:r>
          </w:p>
        </w:tc>
        <w:tc>
          <w:tcPr>
            <w:tcW w:w="1283" w:type="dxa"/>
            <w:vMerge w:val="restart"/>
            <w:vAlign w:val="center"/>
          </w:tcPr>
          <w:p>
            <w:pPr>
              <w:kinsoku w:val="0"/>
              <w:overflowPunct w:val="0"/>
              <w:autoSpaceDE w:val="0"/>
              <w:autoSpaceDN w:val="0"/>
              <w:adjustRightInd w:val="0"/>
              <w:snapToGrid w:val="0"/>
              <w:spacing w:line="280" w:lineRule="exact"/>
              <w:ind w:left="31680" w:hanging="100" w:hangingChars="50"/>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w:t>
            </w:r>
          </w:p>
          <w:p>
            <w:pPr>
              <w:kinsoku w:val="0"/>
              <w:overflowPunct w:val="0"/>
              <w:autoSpaceDE w:val="0"/>
              <w:autoSpaceDN w:val="0"/>
              <w:adjustRightInd w:val="0"/>
              <w:snapToGrid w:val="0"/>
              <w:spacing w:line="280" w:lineRule="exact"/>
              <w:ind w:left="31680" w:hanging="100" w:hangingChars="50"/>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事项</w:t>
            </w:r>
          </w:p>
        </w:tc>
        <w:tc>
          <w:tcPr>
            <w:tcW w:w="1267" w:type="dxa"/>
            <w:vMerge w:val="restart"/>
            <w:tcBorders>
              <w:top w:val="single" w:color="auto" w:sz="4" w:space="0"/>
            </w:tcBorders>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书面核查、</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 w:eastAsia="仿宋_GB2312" w:cs="仿宋_GB2312"/>
                <w:color w:val="000000"/>
                <w:spacing w:val="-20"/>
                <w:kern w:val="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ind w:left="31680" w:hanging="100" w:hangingChars="50"/>
              <w:jc w:val="left"/>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《中华人民共和国旅游法》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3"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经营旅游社业务是否取得经营执业许可；</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是否与导游等长期聘用人员签订劳动合同办理相关合同社会保险；</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3.</w:t>
            </w:r>
            <w:r>
              <w:rPr>
                <w:rFonts w:hint="eastAsia" w:ascii="仿宋_GB2312" w:eastAsia="仿宋_GB2312" w:cs="仿宋_GB2312"/>
                <w:color w:val="000000"/>
                <w:spacing w:val="-20"/>
                <w:kern w:val="0"/>
                <w:sz w:val="24"/>
                <w:szCs w:val="24"/>
              </w:rPr>
              <w:t>是否与旅游者签订旅游合同提供相关旅游服务；</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4.</w:t>
            </w:r>
            <w:r>
              <w:rPr>
                <w:rFonts w:hint="eastAsia" w:ascii="仿宋_GB2312" w:eastAsia="仿宋_GB2312" w:cs="仿宋_GB2312"/>
                <w:color w:val="000000"/>
                <w:spacing w:val="-20"/>
                <w:kern w:val="0"/>
                <w:sz w:val="24"/>
                <w:szCs w:val="24"/>
              </w:rPr>
              <w:t>是否依法经营，有无不正当竞争行为及损害消费者合法权益的行为；</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5.</w:t>
            </w:r>
            <w:r>
              <w:rPr>
                <w:rFonts w:hint="eastAsia" w:ascii="仿宋_GB2312" w:eastAsia="仿宋_GB2312" w:cs="仿宋_GB2312"/>
                <w:color w:val="000000"/>
                <w:spacing w:val="-20"/>
                <w:kern w:val="0"/>
                <w:sz w:val="24"/>
                <w:szCs w:val="24"/>
              </w:rPr>
              <w:t>分支机构的名称标牌经营范围是否符合</w:t>
            </w:r>
            <w:r>
              <w:rPr>
                <w:rFonts w:ascii="仿宋_GB2312" w:eastAsia="仿宋_GB2312" w:cs="仿宋_GB2312"/>
                <w:color w:val="000000"/>
                <w:spacing w:val="-20"/>
                <w:kern w:val="0"/>
                <w:sz w:val="24"/>
                <w:szCs w:val="24"/>
              </w:rPr>
              <w:t>4</w:t>
            </w:r>
            <w:r>
              <w:rPr>
                <w:rFonts w:hint="eastAsia" w:ascii="仿宋_GB2312" w:eastAsia="仿宋_GB2312" w:cs="仿宋_GB2312"/>
                <w:color w:val="000000"/>
                <w:spacing w:val="-20"/>
                <w:kern w:val="0"/>
                <w:sz w:val="24"/>
                <w:szCs w:val="24"/>
              </w:rPr>
              <w:t>法律规定；</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6.</w:t>
            </w:r>
            <w:r>
              <w:rPr>
                <w:rFonts w:hint="eastAsia" w:ascii="仿宋_GB2312" w:eastAsia="仿宋_GB2312" w:cs="仿宋_GB2312"/>
                <w:color w:val="000000"/>
                <w:spacing w:val="-20"/>
                <w:kern w:val="0"/>
                <w:sz w:val="24"/>
                <w:szCs w:val="24"/>
              </w:rPr>
              <w:t>经营场所基础经营条件是否符合法律规定；</w:t>
            </w:r>
          </w:p>
        </w:tc>
        <w:tc>
          <w:tcPr>
            <w:tcW w:w="1283" w:type="dxa"/>
            <w:tcBorders>
              <w:top w:val="single" w:color="auto" w:sz="4" w:space="0"/>
            </w:tcBorders>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kern w:val="0"/>
                <w:sz w:val="24"/>
                <w:szCs w:val="24"/>
              </w:rPr>
              <w:t>旅行社</w:t>
            </w:r>
          </w:p>
        </w:tc>
        <w:tc>
          <w:tcPr>
            <w:tcW w:w="1283"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67"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《中华人民共和国旅游法》《旅行社条例》</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702" w:type="dxa"/>
            <w:vAlign w:val="center"/>
          </w:tcPr>
          <w:p>
            <w:pPr>
              <w:jc w:val="center"/>
              <w:rPr>
                <w:rFonts w:hint="default" w:ascii="宋体" w:eastAsia="宋体" w:cs="宋体"/>
                <w:b/>
                <w:bCs/>
                <w:color w:val="000000"/>
                <w:sz w:val="24"/>
                <w:szCs w:val="24"/>
                <w:lang w:val="en-US" w:eastAsia="zh-CN"/>
              </w:rPr>
            </w:pPr>
            <w:r>
              <w:rPr>
                <w:rFonts w:hint="eastAsia" w:ascii="宋体" w:cs="宋体"/>
                <w:b/>
                <w:bCs/>
                <w:color w:val="000000"/>
                <w:sz w:val="24"/>
                <w:szCs w:val="24"/>
                <w:lang w:val="en-US" w:eastAsia="zh-CN"/>
              </w:rPr>
              <w:t>23</w:t>
            </w:r>
          </w:p>
        </w:tc>
        <w:tc>
          <w:tcPr>
            <w:tcW w:w="1228" w:type="dxa"/>
            <w:tcBorders>
              <w:right w:val="single" w:color="auto" w:sz="4" w:space="0"/>
            </w:tcBorders>
            <w:vAlign w:val="center"/>
          </w:tcPr>
          <w:p>
            <w:pPr>
              <w:kinsoku w:val="0"/>
              <w:overflowPunct w:val="0"/>
              <w:autoSpaceDE w:val="0"/>
              <w:autoSpaceDN w:val="0"/>
              <w:adjustRightInd w:val="0"/>
              <w:snapToGrid w:val="0"/>
              <w:spacing w:line="360" w:lineRule="exact"/>
              <w:rPr>
                <w:rFonts w:ascii="宋体" w:cs="宋体"/>
                <w:b/>
                <w:bCs/>
                <w:color w:val="000000"/>
                <w:sz w:val="24"/>
                <w:szCs w:val="24"/>
              </w:rPr>
            </w:pPr>
            <w:r>
              <w:rPr>
                <w:rFonts w:hint="eastAsia" w:ascii="仿宋_GB2312" w:hAnsi="仿宋" w:eastAsia="仿宋_GB2312" w:cs="仿宋_GB2312"/>
                <w:color w:val="000000"/>
                <w:spacing w:val="-20"/>
                <w:kern w:val="0"/>
                <w:sz w:val="24"/>
                <w:szCs w:val="24"/>
              </w:rPr>
              <w:t>艺术类教育培训机构监督检查</w:t>
            </w:r>
          </w:p>
        </w:tc>
        <w:tc>
          <w:tcPr>
            <w:tcW w:w="3568" w:type="dxa"/>
            <w:tcBorders>
              <w:left w:val="single" w:color="auto" w:sz="4" w:space="0"/>
            </w:tcBorders>
            <w:vAlign w:val="center"/>
          </w:tcPr>
          <w:p>
            <w:pPr>
              <w:jc w:val="center"/>
              <w:rPr>
                <w:rFonts w:ascii="宋体" w:cs="宋体"/>
                <w:b/>
                <w:bCs/>
                <w:color w:val="000000"/>
                <w:sz w:val="24"/>
                <w:szCs w:val="24"/>
              </w:rPr>
            </w:pPr>
            <w:r>
              <w:rPr>
                <w:rFonts w:hint="eastAsia" w:ascii="仿宋_GB2312" w:hAnsi="宋体" w:eastAsia="仿宋_GB2312" w:cs="仿宋_GB2312"/>
                <w:color w:val="000000"/>
                <w:spacing w:val="-20"/>
                <w:sz w:val="24"/>
                <w:szCs w:val="24"/>
              </w:rPr>
              <w:t>安全稳定工作情况；教学及管理；财务管理、收费情况；发布招生广告简章和招生情况；信息公开情况的检查</w:t>
            </w:r>
          </w:p>
        </w:tc>
        <w:tc>
          <w:tcPr>
            <w:tcW w:w="1283" w:type="dxa"/>
            <w:vAlign w:val="center"/>
          </w:tcPr>
          <w:p>
            <w:pPr>
              <w:kinsoku w:val="0"/>
              <w:overflowPunct w:val="0"/>
              <w:autoSpaceDE w:val="0"/>
              <w:autoSpaceDN w:val="0"/>
              <w:adjustRightInd w:val="0"/>
              <w:snapToGrid w:val="0"/>
              <w:spacing w:line="360" w:lineRule="exact"/>
              <w:rPr>
                <w:rFonts w:ascii="宋体" w:cs="宋体"/>
                <w:b/>
                <w:bCs/>
                <w:color w:val="000000"/>
                <w:sz w:val="24"/>
                <w:szCs w:val="24"/>
              </w:rPr>
            </w:pPr>
            <w:r>
              <w:rPr>
                <w:rFonts w:hint="eastAsia" w:ascii="仿宋_GB2312" w:hAnsi="仿宋" w:eastAsia="仿宋_GB2312" w:cs="仿宋_GB2312"/>
                <w:color w:val="000000"/>
                <w:spacing w:val="-20"/>
                <w:kern w:val="0"/>
                <w:sz w:val="24"/>
                <w:szCs w:val="24"/>
              </w:rPr>
              <w:t>全区艺术类教育培训机构</w:t>
            </w:r>
          </w:p>
        </w:tc>
        <w:tc>
          <w:tcPr>
            <w:tcW w:w="1283" w:type="dxa"/>
            <w:vAlign w:val="center"/>
          </w:tcPr>
          <w:p>
            <w:pPr>
              <w:kinsoku w:val="0"/>
              <w:overflowPunct w:val="0"/>
              <w:autoSpaceDE w:val="0"/>
              <w:autoSpaceDN w:val="0"/>
              <w:adjustRightInd w:val="0"/>
              <w:snapToGrid w:val="0"/>
              <w:spacing w:line="280" w:lineRule="exact"/>
              <w:ind w:left="31680" w:hanging="100" w:hangingChars="50"/>
              <w:jc w:val="center"/>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280" w:lineRule="exact"/>
              <w:ind w:left="31680" w:hanging="100" w:hangingChars="50"/>
              <w:jc w:val="center"/>
              <w:rPr>
                <w:rFonts w:ascii="宋体" w:cs="宋体"/>
                <w:b/>
                <w:bCs/>
                <w:color w:val="000000"/>
                <w:sz w:val="24"/>
                <w:szCs w:val="24"/>
              </w:rPr>
            </w:pPr>
            <w:r>
              <w:rPr>
                <w:rFonts w:hint="eastAsia" w:ascii="仿宋_GB2312" w:hAnsi="仿宋" w:eastAsia="仿宋_GB2312" w:cs="仿宋_GB2312"/>
                <w:color w:val="000000"/>
                <w:spacing w:val="-20"/>
                <w:kern w:val="0"/>
                <w:sz w:val="24"/>
                <w:szCs w:val="24"/>
              </w:rPr>
              <w:t>检查事项</w:t>
            </w:r>
          </w:p>
        </w:tc>
        <w:tc>
          <w:tcPr>
            <w:tcW w:w="1267" w:type="dxa"/>
            <w:tcBorders>
              <w:right w:val="single" w:color="auto" w:sz="4" w:space="0"/>
            </w:tcBorders>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书面核查、</w:t>
            </w:r>
          </w:p>
          <w:p>
            <w:pPr>
              <w:jc w:val="both"/>
              <w:rPr>
                <w:rFonts w:ascii="宋体" w:cs="宋体"/>
                <w:b/>
                <w:bCs/>
                <w:color w:val="000000"/>
                <w:sz w:val="24"/>
                <w:szCs w:val="24"/>
              </w:rPr>
            </w:pPr>
            <w:r>
              <w:rPr>
                <w:rFonts w:hint="eastAsia" w:ascii="仿宋_GB2312" w:hAnsi="仿宋" w:eastAsia="仿宋_GB2312" w:cs="仿宋_GB2312"/>
                <w:color w:val="000000"/>
                <w:spacing w:val="-20"/>
                <w:kern w:val="0"/>
                <w:sz w:val="24"/>
                <w:szCs w:val="24"/>
              </w:rPr>
              <w:t>实地核查</w:t>
            </w:r>
          </w:p>
          <w:p>
            <w:pPr>
              <w:jc w:val="center"/>
              <w:rPr>
                <w:rFonts w:ascii="宋体" w:cs="宋体"/>
                <w:b/>
                <w:bCs/>
                <w:color w:val="000000"/>
                <w:sz w:val="24"/>
                <w:szCs w:val="24"/>
              </w:rPr>
            </w:pPr>
          </w:p>
        </w:tc>
        <w:tc>
          <w:tcPr>
            <w:tcW w:w="4407" w:type="dxa"/>
            <w:tcBorders>
              <w:left w:val="single" w:color="auto" w:sz="4" w:space="0"/>
              <w:right w:val="single" w:color="auto" w:sz="4" w:space="0"/>
            </w:tcBorders>
            <w:vAlign w:val="center"/>
          </w:tcPr>
          <w:p>
            <w:pPr>
              <w:jc w:val="left"/>
              <w:rPr>
                <w:rFonts w:ascii="宋体" w:cs="宋体"/>
                <w:b/>
                <w:bCs/>
                <w:color w:val="000000"/>
                <w:sz w:val="24"/>
                <w:szCs w:val="24"/>
              </w:rPr>
            </w:pPr>
            <w:r>
              <w:rPr>
                <w:rFonts w:hint="eastAsia" w:ascii="仿宋_GB2312" w:hAnsi="仿宋" w:eastAsia="仿宋_GB2312" w:cs="仿宋_GB2312"/>
                <w:color w:val="000000"/>
                <w:spacing w:val="-20"/>
                <w:kern w:val="0"/>
                <w:sz w:val="24"/>
                <w:szCs w:val="24"/>
                <w:lang w:eastAsia="zh-CN"/>
              </w:rPr>
              <w:t>《</w:t>
            </w:r>
            <w:r>
              <w:rPr>
                <w:rFonts w:hint="eastAsia" w:ascii="仿宋_GB2312" w:hAnsi="仿宋" w:eastAsia="仿宋_GB2312" w:cs="仿宋_GB2312"/>
                <w:color w:val="000000"/>
                <w:spacing w:val="-20"/>
                <w:kern w:val="0"/>
                <w:sz w:val="24"/>
                <w:szCs w:val="24"/>
              </w:rPr>
              <w:t>民办教育促进法》第六十二条；《民办教育促进法实施条例》第二十六条；《营利性民办学校监督管理实施细则》第四十七条</w:t>
            </w:r>
          </w:p>
        </w:tc>
        <w:tc>
          <w:tcPr>
            <w:tcW w:w="1224" w:type="dxa"/>
            <w:tcBorders>
              <w:left w:val="single" w:color="auto" w:sz="4" w:space="0"/>
            </w:tcBorders>
            <w:vAlign w:val="center"/>
          </w:tcPr>
          <w:p>
            <w:pPr>
              <w:jc w:val="center"/>
              <w:rPr>
                <w:rFonts w:ascii="宋体" w:cs="宋体"/>
                <w:b/>
                <w:bCs/>
                <w:color w:val="000000"/>
                <w:sz w:val="24"/>
                <w:szCs w:val="24"/>
              </w:rPr>
            </w:pPr>
            <w:r>
              <w:rPr>
                <w:rFonts w:hint="eastAsia" w:ascii="仿宋_GB2312" w:hAnsi="仿宋_GB2312" w:eastAsia="仿宋_GB2312" w:cs="仿宋_GB2312"/>
                <w:color w:val="000000"/>
                <w:spacing w:val="-28"/>
                <w:sz w:val="24"/>
                <w:szCs w:val="24"/>
              </w:rPr>
              <w:t>宣传部（文旅广电局）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6"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24</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机械企业检查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、自动电镀生产线的安全保护措施；</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、临时涂装作业的划定及安全措施的落实情况；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、涂装烘干系统的烟囱中沉积物情况和定期清扫情况；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、使用易燃易爆清洗剂时安全防护措施的落实情况；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、集聚在密闭半密闭空间内易燃易爆气体的及时清理措施；</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、检修作业时的安全防护措施</w:t>
            </w:r>
          </w:p>
        </w:tc>
        <w:tc>
          <w:tcPr>
            <w:tcW w:w="1283"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机械企业</w:t>
            </w:r>
          </w:p>
        </w:tc>
        <w:tc>
          <w:tcPr>
            <w:tcW w:w="1283"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tcBorders>
              <w:bottom w:val="single" w:color="auto" w:sz="4" w:space="0"/>
            </w:tcBorders>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34"/>
                <w:sz w:val="24"/>
                <w:szCs w:val="24"/>
              </w:rPr>
            </w:pPr>
            <w:r>
              <w:rPr>
                <w:rFonts w:hint="eastAsia" w:ascii="仿宋_GB2312" w:hAnsi="仿宋" w:eastAsia="仿宋_GB2312" w:cs="仿宋_GB2312"/>
                <w:color w:val="000000"/>
                <w:spacing w:val="-34"/>
                <w:sz w:val="24"/>
                <w:szCs w:val="24"/>
              </w:rPr>
              <w:t>《电镀生产装置安全技术件》（</w:t>
            </w:r>
            <w:r>
              <w:rPr>
                <w:rFonts w:ascii="仿宋_GB2312" w:hAnsi="仿宋" w:eastAsia="仿宋_GB2312" w:cs="仿宋_GB2312"/>
                <w:color w:val="000000"/>
                <w:spacing w:val="-34"/>
                <w:sz w:val="24"/>
                <w:szCs w:val="24"/>
              </w:rPr>
              <w:t>AQ 5203-2008</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5.7</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安全管理通则》（</w:t>
            </w:r>
            <w:r>
              <w:rPr>
                <w:rFonts w:ascii="仿宋_GB2312" w:hAnsi="仿宋" w:eastAsia="仿宋_GB2312" w:cs="仿宋_GB2312"/>
                <w:color w:val="000000"/>
                <w:spacing w:val="-34"/>
                <w:sz w:val="24"/>
                <w:szCs w:val="24"/>
              </w:rPr>
              <w:t>GB 7691-2003</w:t>
            </w:r>
            <w:r>
              <w:rPr>
                <w:rFonts w:hint="eastAsia" w:ascii="仿宋_GB2312" w:hAnsi="仿宋" w:eastAsia="仿宋_GB2312" w:cs="仿宋_GB2312"/>
                <w:color w:val="000000"/>
                <w:spacing w:val="-34"/>
                <w:sz w:val="24"/>
                <w:szCs w:val="24"/>
              </w:rPr>
              <w:t>）第</w:t>
            </w:r>
            <w:r>
              <w:rPr>
                <w:rFonts w:ascii="仿宋_GB2312" w:hAnsi="仿宋" w:eastAsia="仿宋_GB2312" w:cs="仿宋_GB2312"/>
                <w:color w:val="000000"/>
                <w:spacing w:val="-34"/>
                <w:sz w:val="24"/>
                <w:szCs w:val="24"/>
              </w:rPr>
              <w:t>9.1</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6.3</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涂漆工艺安全及其通风净化》（</w:t>
            </w:r>
            <w:r>
              <w:rPr>
                <w:rFonts w:ascii="仿宋_GB2312" w:hAnsi="仿宋" w:eastAsia="仿宋_GB2312" w:cs="仿宋_GB2312"/>
                <w:color w:val="000000"/>
                <w:spacing w:val="-34"/>
                <w:sz w:val="24"/>
                <w:szCs w:val="24"/>
              </w:rPr>
              <w:t>GB 6514-2008</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5.1.3.1</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5.1.3.2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5.1.3.3</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5.11.1</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涂层烘干室</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安全技术规定》（</w:t>
            </w:r>
            <w:r>
              <w:rPr>
                <w:rFonts w:ascii="仿宋_GB2312" w:hAnsi="仿宋" w:eastAsia="仿宋_GB2312" w:cs="仿宋_GB2312"/>
                <w:color w:val="000000"/>
                <w:spacing w:val="-34"/>
                <w:sz w:val="24"/>
                <w:szCs w:val="24"/>
              </w:rPr>
              <w:t>GB14443-2007</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9.6</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安全管理通则》（</w:t>
            </w:r>
            <w:r>
              <w:rPr>
                <w:rFonts w:ascii="仿宋_GB2312" w:hAnsi="仿宋" w:eastAsia="仿宋_GB2312" w:cs="仿宋_GB2312"/>
                <w:color w:val="000000"/>
                <w:spacing w:val="-34"/>
                <w:sz w:val="24"/>
                <w:szCs w:val="24"/>
              </w:rPr>
              <w:t>GB 7691-2003</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9.6</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涂漆前处理工艺安全及其通风净化》（</w:t>
            </w:r>
            <w:r>
              <w:rPr>
                <w:rFonts w:ascii="仿宋_GB2312" w:hAnsi="仿宋" w:eastAsia="仿宋_GB2312" w:cs="仿宋_GB2312"/>
                <w:color w:val="000000"/>
                <w:spacing w:val="-34"/>
                <w:sz w:val="24"/>
                <w:szCs w:val="24"/>
              </w:rPr>
              <w:t>GB 7692-2012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5.1.16</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5.1.25</w:t>
            </w:r>
            <w:r>
              <w:rPr>
                <w:rFonts w:hint="eastAsia" w:ascii="仿宋_GB2312" w:hAnsi="仿宋" w:eastAsia="仿宋_GB2312" w:cs="仿宋_GB2312"/>
                <w:color w:val="000000"/>
                <w:spacing w:val="-34"/>
                <w:sz w:val="24"/>
                <w:szCs w:val="24"/>
              </w:rPr>
              <w:t>《焊接与切割安全》（</w:t>
            </w:r>
            <w:r>
              <w:rPr>
                <w:rFonts w:ascii="仿宋_GB2312" w:hAnsi="仿宋" w:eastAsia="仿宋_GB2312" w:cs="仿宋_GB2312"/>
                <w:color w:val="000000"/>
                <w:spacing w:val="-34"/>
                <w:sz w:val="24"/>
                <w:szCs w:val="24"/>
              </w:rPr>
              <w:t>GB 9448-1999</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6.3</w:t>
            </w:r>
            <w:r>
              <w:rPr>
                <w:rFonts w:hint="eastAsia" w:ascii="仿宋_GB2312" w:hAnsi="仿宋" w:eastAsia="仿宋_GB2312" w:cs="仿宋_GB2312"/>
                <w:color w:val="000000"/>
                <w:spacing w:val="-34"/>
                <w:sz w:val="24"/>
                <w:szCs w:val="24"/>
              </w:rPr>
              <w:t>《冲压车间安全生产通则》（</w:t>
            </w:r>
            <w:r>
              <w:rPr>
                <w:rFonts w:ascii="仿宋_GB2312" w:hAnsi="仿宋" w:eastAsia="仿宋_GB2312" w:cs="仿宋_GB2312"/>
                <w:color w:val="000000"/>
                <w:spacing w:val="-34"/>
                <w:sz w:val="24"/>
                <w:szCs w:val="24"/>
              </w:rPr>
              <w:t>GB 8176-2012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8.11</w:t>
            </w:r>
            <w:r>
              <w:rPr>
                <w:rFonts w:hint="eastAsia" w:ascii="仿宋_GB2312" w:hAnsi="仿宋" w:eastAsia="仿宋_GB2312" w:cs="仿宋_GB2312"/>
                <w:color w:val="000000"/>
                <w:spacing w:val="-34"/>
                <w:sz w:val="24"/>
                <w:szCs w:val="24"/>
              </w:rPr>
              <w:t>；《金属热处理生产过程安全、卫生要求》（</w:t>
            </w:r>
            <w:r>
              <w:rPr>
                <w:rFonts w:ascii="仿宋_GB2312" w:hAnsi="仿宋" w:eastAsia="仿宋_GB2312" w:cs="仿宋_GB2312"/>
                <w:color w:val="000000"/>
                <w:spacing w:val="-34"/>
                <w:sz w:val="24"/>
                <w:szCs w:val="24"/>
              </w:rPr>
              <w:t>GB 15735-2012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9.7</w:t>
            </w:r>
            <w:r>
              <w:rPr>
                <w:rFonts w:hint="eastAsia" w:ascii="仿宋_GB2312" w:hAnsi="仿宋" w:eastAsia="仿宋_GB2312" w:cs="仿宋_GB2312"/>
                <w:color w:val="000000"/>
                <w:spacing w:val="-34"/>
                <w:sz w:val="24"/>
                <w:szCs w:val="24"/>
              </w:rPr>
              <w:t>；《木工（材）车间安全生产通则》（</w:t>
            </w:r>
            <w:r>
              <w:rPr>
                <w:rFonts w:ascii="仿宋_GB2312" w:hAnsi="仿宋" w:eastAsia="仿宋_GB2312" w:cs="仿宋_GB2312"/>
                <w:color w:val="000000"/>
                <w:spacing w:val="-34"/>
                <w:sz w:val="24"/>
                <w:szCs w:val="24"/>
              </w:rPr>
              <w:t>GB 15606-2008</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10.4</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安全管理通则》（</w:t>
            </w:r>
            <w:r>
              <w:rPr>
                <w:rFonts w:ascii="仿宋_GB2312" w:hAnsi="仿宋" w:eastAsia="仿宋_GB2312" w:cs="仿宋_GB2312"/>
                <w:color w:val="000000"/>
                <w:spacing w:val="-34"/>
                <w:sz w:val="24"/>
                <w:szCs w:val="24"/>
              </w:rPr>
              <w:t>GB 7691-2003</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13</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6"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25</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轻工企业检查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、较大危险因素辨识管控措施的落实情况；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、烘制、油炸等高温设备安全保护措施的配备情况；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、木糖醇生产加氢环节氢气罐防雷、防静电的措施；</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、植物油加工企业浸出车间的安全防护措施；</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、白酒储存勾兑场所乙醇浓度报警装置的设置情况</w:t>
            </w:r>
          </w:p>
        </w:tc>
        <w:tc>
          <w:tcPr>
            <w:tcW w:w="1283" w:type="dxa"/>
            <w:tcBorders>
              <w:top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轻工企业</w:t>
            </w:r>
          </w:p>
        </w:tc>
        <w:tc>
          <w:tcPr>
            <w:tcW w:w="1283" w:type="dxa"/>
            <w:tcBorders>
              <w:top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tcBorders>
              <w:top w:val="single" w:color="auto" w:sz="4" w:space="0"/>
            </w:tcBorders>
            <w:vAlign w:val="center"/>
          </w:tcPr>
          <w:p>
            <w:pPr>
              <w:kinsoku w:val="0"/>
              <w:overflowPunct w:val="0"/>
              <w:autoSpaceDE w:val="0"/>
              <w:autoSpaceDN w:val="0"/>
              <w:adjustRightInd w:val="0"/>
              <w:snapToGrid w:val="0"/>
              <w:spacing w:line="340" w:lineRule="exact"/>
              <w:rPr>
                <w:rFonts w:ascii="仿宋_GB2312" w:hAnsi="仿宋" w:eastAsia="仿宋_GB2312" w:cs="Times New Roman"/>
                <w:color w:val="000000"/>
                <w:spacing w:val="-20"/>
                <w:kern w:val="2"/>
                <w:sz w:val="24"/>
                <w:szCs w:val="24"/>
                <w:lang w:val="en-US" w:eastAsia="zh-CN" w:bidi="ar-SA"/>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《安全生产法》第三十二条　生产经营单位应当在有较大危险因素的生产经营场所和有关设施、设备上，设置明显的安全警示标志。《食品生产企业安全生产监督管理暂行规定》</w:t>
            </w:r>
            <w:r>
              <w:rPr>
                <w:rFonts w:ascii="仿宋_GB2312" w:hAnsi="仿宋" w:eastAsia="仿宋_GB2312" w:cs="仿宋_GB2312"/>
                <w:color w:val="000000"/>
                <w:spacing w:val="-30"/>
                <w:sz w:val="24"/>
                <w:szCs w:val="24"/>
              </w:rPr>
              <w:t>(</w:t>
            </w:r>
            <w:r>
              <w:rPr>
                <w:rFonts w:hint="eastAsia" w:ascii="仿宋_GB2312" w:hAnsi="仿宋" w:eastAsia="仿宋_GB2312" w:cs="仿宋_GB2312"/>
                <w:color w:val="000000"/>
                <w:spacing w:val="-30"/>
                <w:sz w:val="24"/>
                <w:szCs w:val="24"/>
              </w:rPr>
              <w:t>国家安全监管总局令第</w:t>
            </w:r>
            <w:r>
              <w:rPr>
                <w:rFonts w:ascii="仿宋_GB2312" w:hAnsi="仿宋" w:eastAsia="仿宋_GB2312" w:cs="仿宋_GB2312"/>
                <w:color w:val="000000"/>
                <w:spacing w:val="-30"/>
                <w:sz w:val="24"/>
                <w:szCs w:val="24"/>
              </w:rPr>
              <w:t>66</w:t>
            </w:r>
            <w:r>
              <w:rPr>
                <w:rFonts w:hint="eastAsia" w:ascii="仿宋_GB2312" w:hAnsi="仿宋" w:eastAsia="仿宋_GB2312" w:cs="仿宋_GB2312"/>
                <w:color w:val="000000"/>
                <w:spacing w:val="-30"/>
                <w:sz w:val="24"/>
                <w:szCs w:val="24"/>
              </w:rPr>
              <w:t>号</w:t>
            </w:r>
            <w:r>
              <w:rPr>
                <w:rFonts w:ascii="仿宋_GB2312" w:hAnsi="仿宋" w:eastAsia="仿宋_GB2312" w:cs="仿宋_GB2312"/>
                <w:color w:val="000000"/>
                <w:spacing w:val="-30"/>
                <w:sz w:val="24"/>
                <w:szCs w:val="24"/>
              </w:rPr>
              <w:t>)</w:t>
            </w:r>
            <w:r>
              <w:rPr>
                <w:rFonts w:hint="eastAsia" w:ascii="仿宋_GB2312" w:hAnsi="仿宋" w:eastAsia="仿宋_GB2312" w:cs="仿宋_GB2312"/>
                <w:color w:val="000000"/>
                <w:spacing w:val="-30"/>
                <w:sz w:val="24"/>
                <w:szCs w:val="24"/>
              </w:rPr>
              <w:t>《建筑物防雷设计规范》</w:t>
            </w:r>
            <w:r>
              <w:rPr>
                <w:rFonts w:ascii="仿宋_GB2312" w:hAnsi="仿宋" w:eastAsia="仿宋_GB2312" w:cs="仿宋_GB2312"/>
                <w:color w:val="000000"/>
                <w:spacing w:val="-30"/>
                <w:sz w:val="24"/>
                <w:szCs w:val="24"/>
              </w:rPr>
              <w:t>GB 50057</w:t>
            </w:r>
            <w:r>
              <w:rPr>
                <w:rFonts w:hint="eastAsia" w:ascii="仿宋_GB2312" w:hAnsi="仿宋" w:eastAsia="仿宋_GB2312" w:cs="仿宋_GB2312"/>
                <w:color w:val="000000"/>
                <w:spacing w:val="-30"/>
                <w:sz w:val="24"/>
                <w:szCs w:val="24"/>
              </w:rPr>
              <w:t>、《爆炸和火灾危险环境电力装置设计规范》</w:t>
            </w:r>
            <w:r>
              <w:rPr>
                <w:rFonts w:ascii="仿宋_GB2312" w:hAnsi="仿宋" w:eastAsia="仿宋_GB2312" w:cs="仿宋_GB2312"/>
                <w:color w:val="000000"/>
                <w:spacing w:val="-30"/>
                <w:sz w:val="24"/>
                <w:szCs w:val="24"/>
              </w:rPr>
              <w:t>GB 50058</w:t>
            </w:r>
            <w:r>
              <w:rPr>
                <w:rFonts w:hint="eastAsia" w:ascii="仿宋_GB2312" w:hAnsi="仿宋" w:eastAsia="仿宋_GB2312" w:cs="仿宋_GB2312"/>
                <w:color w:val="000000"/>
                <w:spacing w:val="-30"/>
                <w:sz w:val="24"/>
                <w:szCs w:val="24"/>
              </w:rPr>
              <w:t>《浸出油工厂防火安全规范》（</w:t>
            </w:r>
            <w:r>
              <w:rPr>
                <w:rFonts w:ascii="仿宋_GB2312" w:hAnsi="仿宋" w:eastAsia="仿宋_GB2312" w:cs="仿宋_GB2312"/>
                <w:color w:val="000000"/>
                <w:spacing w:val="-30"/>
                <w:sz w:val="24"/>
                <w:szCs w:val="24"/>
              </w:rPr>
              <w:t>SJB 04-91</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3.0.8</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3.0.10</w:t>
            </w:r>
            <w:r>
              <w:rPr>
                <w:rFonts w:hint="eastAsia" w:ascii="仿宋_GB2312" w:hAnsi="仿宋" w:eastAsia="仿宋_GB2312" w:cs="仿宋_GB2312"/>
                <w:color w:val="000000"/>
                <w:spacing w:val="-30"/>
                <w:sz w:val="24"/>
                <w:szCs w:val="24"/>
              </w:rPr>
              <w:t>《酒厂设计防火规范》</w:t>
            </w:r>
            <w:r>
              <w:rPr>
                <w:rFonts w:ascii="仿宋_GB2312" w:hAnsi="仿宋" w:eastAsia="仿宋_GB2312" w:cs="仿宋_GB2312"/>
                <w:color w:val="000000"/>
                <w:spacing w:val="-30"/>
                <w:sz w:val="24"/>
                <w:szCs w:val="24"/>
              </w:rPr>
              <w:t>(GB50694-2011</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9.3.4</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26</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轻工企业检查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、白酒储罐的防雷措施；</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、造纸企业液氯使用安全规程的落实情况；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、日用玻璃、陶瓷、搪瓷制造企业燃气窑炉安全防护设备的设置情况；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、电池化成区域电气设备应防爆。</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轻工企业</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《酒厂设计防火规范》</w:t>
            </w:r>
            <w:r>
              <w:rPr>
                <w:rFonts w:ascii="仿宋_GB2312" w:hAnsi="仿宋" w:eastAsia="仿宋_GB2312" w:cs="仿宋_GB2312"/>
                <w:color w:val="000000"/>
                <w:spacing w:val="-20"/>
                <w:sz w:val="24"/>
                <w:szCs w:val="24"/>
              </w:rPr>
              <w:t>(GB50694-2011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9.2.3 </w:t>
            </w:r>
            <w:r>
              <w:rPr>
                <w:rFonts w:hint="eastAsia" w:ascii="仿宋_GB2312" w:hAnsi="仿宋" w:eastAsia="仿宋_GB2312" w:cs="仿宋_GB2312"/>
                <w:color w:val="000000"/>
                <w:spacing w:val="-20"/>
                <w:sz w:val="24"/>
                <w:szCs w:val="24"/>
              </w:rPr>
              <w:t>，《易燃易爆罐区安全监控预警系统验收技术要求》（</w:t>
            </w:r>
            <w:r>
              <w:rPr>
                <w:rFonts w:ascii="仿宋_GB2312" w:hAnsi="仿宋" w:eastAsia="仿宋_GB2312" w:cs="仿宋_GB2312"/>
                <w:color w:val="000000"/>
                <w:spacing w:val="-20"/>
                <w:sz w:val="24"/>
                <w:szCs w:val="24"/>
              </w:rPr>
              <w:t>GB17681-1999</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7.4.1</w:t>
            </w:r>
            <w:r>
              <w:rPr>
                <w:rFonts w:hint="eastAsia" w:ascii="仿宋_GB2312" w:hAnsi="仿宋" w:eastAsia="仿宋_GB2312" w:cs="仿宋_GB2312"/>
                <w:color w:val="000000"/>
                <w:spacing w:val="-20"/>
                <w:sz w:val="24"/>
                <w:szCs w:val="24"/>
              </w:rPr>
              <w:t>和</w:t>
            </w:r>
            <w:r>
              <w:rPr>
                <w:rFonts w:ascii="仿宋_GB2312" w:hAnsi="仿宋" w:eastAsia="仿宋_GB2312" w:cs="仿宋_GB2312"/>
                <w:color w:val="000000"/>
                <w:spacing w:val="-20"/>
                <w:sz w:val="24"/>
                <w:szCs w:val="24"/>
              </w:rPr>
              <w:t>7.4.2</w:t>
            </w:r>
            <w:r>
              <w:rPr>
                <w:rFonts w:hint="eastAsia" w:ascii="仿宋_GB2312" w:hAnsi="仿宋" w:eastAsia="仿宋_GB2312" w:cs="仿宋_GB2312"/>
                <w:color w:val="000000"/>
                <w:spacing w:val="-20"/>
                <w:sz w:val="24"/>
                <w:szCs w:val="24"/>
              </w:rPr>
              <w:t>《氯气安全规程》（</w:t>
            </w:r>
            <w:r>
              <w:rPr>
                <w:rFonts w:ascii="仿宋_GB2312" w:hAnsi="仿宋" w:eastAsia="仿宋_GB2312" w:cs="仿宋_GB2312"/>
                <w:color w:val="000000"/>
                <w:spacing w:val="-20"/>
                <w:sz w:val="24"/>
                <w:szCs w:val="24"/>
              </w:rPr>
              <w:t>GB 11984-2008</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5.3.2</w:t>
            </w:r>
            <w:r>
              <w:rPr>
                <w:rFonts w:hint="eastAsia" w:ascii="仿宋_GB2312" w:hAnsi="仿宋" w:eastAsia="仿宋_GB2312" w:cs="仿宋_GB2312"/>
                <w:color w:val="000000"/>
                <w:spacing w:val="-20"/>
                <w:sz w:val="24"/>
                <w:szCs w:val="24"/>
              </w:rPr>
              <w:t>《工业企业煤气安全规程》（</w:t>
            </w:r>
            <w:r>
              <w:rPr>
                <w:rFonts w:ascii="仿宋_GB2312" w:hAnsi="仿宋" w:eastAsia="仿宋_GB2312" w:cs="仿宋_GB2312"/>
                <w:color w:val="000000"/>
                <w:spacing w:val="-20"/>
                <w:sz w:val="24"/>
                <w:szCs w:val="24"/>
              </w:rPr>
              <w:t>GB6222-2005</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4.10</w:t>
            </w:r>
            <w:r>
              <w:rPr>
                <w:rFonts w:hint="eastAsia" w:ascii="仿宋_GB2312" w:hAnsi="仿宋" w:eastAsia="仿宋_GB2312" w:cs="仿宋_GB2312"/>
                <w:color w:val="000000"/>
                <w:spacing w:val="-20"/>
                <w:sz w:val="24"/>
                <w:szCs w:val="24"/>
              </w:rPr>
              <w:t>《防止静电事故通用导则》（</w:t>
            </w:r>
            <w:r>
              <w:rPr>
                <w:rFonts w:ascii="仿宋_GB2312" w:hAnsi="仿宋" w:eastAsia="仿宋_GB2312" w:cs="仿宋_GB2312"/>
                <w:color w:val="000000"/>
                <w:spacing w:val="-20"/>
                <w:sz w:val="24"/>
                <w:szCs w:val="24"/>
              </w:rPr>
              <w:t>GB12158</w:t>
            </w:r>
            <w:r>
              <w:rPr>
                <w:rFonts w:hint="eastAsia" w:ascii="仿宋_GB2312" w:hAnsi="仿宋" w:eastAsia="仿宋_GB2312" w:cs="仿宋_GB2312"/>
                <w:color w:val="000000"/>
                <w:spacing w:val="-20"/>
                <w:sz w:val="24"/>
                <w:szCs w:val="24"/>
              </w:rPr>
              <w:t>），《爆炸性气体环境用电气设备第</w:t>
            </w: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部分</w:t>
            </w:r>
            <w:r>
              <w:rPr>
                <w:rFonts w:ascii="仿宋_GB2312" w:hAnsi="仿宋" w:eastAsia="仿宋_GB2312" w:cs="仿宋_GB2312"/>
                <w:color w:val="000000"/>
                <w:spacing w:val="-20"/>
                <w:sz w:val="24"/>
                <w:szCs w:val="24"/>
              </w:rPr>
              <w:t>:</w:t>
            </w:r>
            <w:r>
              <w:rPr>
                <w:rFonts w:hint="eastAsia" w:ascii="仿宋_GB2312" w:hAnsi="仿宋" w:eastAsia="仿宋_GB2312" w:cs="仿宋_GB2312"/>
                <w:color w:val="000000"/>
                <w:spacing w:val="-20"/>
                <w:sz w:val="24"/>
                <w:szCs w:val="24"/>
              </w:rPr>
              <w:t>通用要求》（</w:t>
            </w:r>
            <w:r>
              <w:rPr>
                <w:rFonts w:ascii="仿宋_GB2312" w:hAnsi="仿宋" w:eastAsia="仿宋_GB2312" w:cs="仿宋_GB2312"/>
                <w:color w:val="000000"/>
                <w:spacing w:val="-20"/>
                <w:sz w:val="24"/>
                <w:szCs w:val="24"/>
              </w:rPr>
              <w:t>GB3836.1-2000</w:t>
            </w:r>
            <w:r>
              <w:rPr>
                <w:rFonts w:hint="eastAsia" w:ascii="仿宋_GB2312" w:hAnsi="仿宋" w:eastAsia="仿宋_GB2312" w:cs="仿宋_GB2312"/>
                <w:color w:val="000000"/>
                <w:spacing w:val="-20"/>
                <w:sz w:val="24"/>
                <w:szCs w:val="24"/>
              </w:rPr>
              <w:t>）</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27</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纺织企业检查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、较大危险因素辨识管控措施的落实情况；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、热定型设备的安全技术状况；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、燃气贮罐、管道和汽化室的安全防护措施；</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、危险品贮存安全措施的落实情况</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纺织企业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《安全生产法》第三十二条　生产经营单位应当在有较大危险因素的生产经营场所和有关设施、设备上，设置明显的安全警示标志。《纺织工业企业安全管理规范》</w:t>
            </w:r>
            <w:r>
              <w:rPr>
                <w:rFonts w:ascii="仿宋_GB2312" w:hAnsi="仿宋" w:eastAsia="仿宋_GB2312" w:cs="仿宋_GB2312"/>
                <w:color w:val="000000"/>
                <w:spacing w:val="-20"/>
                <w:sz w:val="24"/>
                <w:szCs w:val="24"/>
              </w:rPr>
              <w:t>(AQ 7002-2007)11.2.2.4</w:t>
            </w:r>
          </w:p>
          <w:p>
            <w:pPr>
              <w:kinsoku w:val="0"/>
              <w:overflowPunct w:val="0"/>
              <w:autoSpaceDE w:val="0"/>
              <w:autoSpaceDN w:val="0"/>
              <w:adjustRightInd w:val="0"/>
              <w:snapToGrid w:val="0"/>
              <w:spacing w:line="28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《纺织工业企业安全管理规范》</w:t>
            </w:r>
            <w:r>
              <w:rPr>
                <w:rFonts w:ascii="仿宋_GB2312" w:hAnsi="仿宋" w:eastAsia="仿宋_GB2312" w:cs="仿宋_GB2312"/>
                <w:color w:val="000000"/>
                <w:spacing w:val="-20"/>
                <w:sz w:val="24"/>
                <w:szCs w:val="24"/>
              </w:rPr>
              <w:t>(AQ 7002-2007) 11.2.10.2</w:t>
            </w:r>
            <w:r>
              <w:rPr>
                <w:rFonts w:hint="eastAsia" w:ascii="仿宋_GB2312" w:hAnsi="仿宋" w:eastAsia="仿宋_GB2312" w:cs="仿宋_GB2312"/>
                <w:color w:val="000000"/>
                <w:spacing w:val="-20"/>
                <w:sz w:val="24"/>
                <w:szCs w:val="24"/>
              </w:rPr>
              <w:t>《纺织工业企业安全管理规范》</w:t>
            </w:r>
            <w:r>
              <w:rPr>
                <w:rFonts w:ascii="仿宋_GB2312" w:hAnsi="仿宋" w:eastAsia="仿宋_GB2312" w:cs="仿宋_GB2312"/>
                <w:color w:val="000000"/>
                <w:spacing w:val="-20"/>
                <w:sz w:val="24"/>
                <w:szCs w:val="24"/>
              </w:rPr>
              <w:t>(AQ 7002-2007)13.3.6</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28</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4"/>
                <w:sz w:val="24"/>
                <w:szCs w:val="24"/>
              </w:rPr>
            </w:pPr>
            <w:r>
              <w:rPr>
                <w:rFonts w:hint="eastAsia" w:ascii="仿宋_GB2312" w:hAnsi="仿宋" w:eastAsia="仿宋_GB2312" w:cs="仿宋_GB2312"/>
                <w:color w:val="000000"/>
                <w:spacing w:val="-24"/>
                <w:sz w:val="24"/>
                <w:szCs w:val="24"/>
              </w:rPr>
              <w:t>非煤矿山企业检查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、基建改扩建矿山设计审查和预评价报告编制情况；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、证照齐全情况；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、安全管理机构设置、安全生产责任制建立和从业人员培训情况；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、主要负责人、安全管理人员考核合格和特种作业人员持证上岗情况。</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非煤矿山企业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《安全生产法》第二十一条、第二十四条、第二十五条、第二十七条、第二十九条、第三十条、《安全生产许可证条例》第二条　</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4"/>
                <w:sz w:val="24"/>
                <w:szCs w:val="24"/>
              </w:rPr>
            </w:pP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、安全投入情况；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、淘汰危及安全生产工艺、设备情况；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、图纸真实性情况；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、应急救援队伍建立、应急演练和应急装备、物资配备情况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《安全生产法》第二十条、第三十五条、第七十八条；《金属非金属矿山安全规程》（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0" w:hRule="atLeast"/>
        </w:trPr>
        <w:tc>
          <w:tcPr>
            <w:tcW w:w="702" w:type="dxa"/>
            <w:vMerge w:val="restart"/>
            <w:vAlign w:val="center"/>
          </w:tcPr>
          <w:p>
            <w:pPr>
              <w:kinsoku w:val="0"/>
              <w:overflowPunct w:val="0"/>
              <w:autoSpaceDE w:val="0"/>
              <w:autoSpaceDN w:val="0"/>
              <w:adjustRightInd w:val="0"/>
              <w:snapToGrid w:val="0"/>
              <w:spacing w:line="30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29</w:t>
            </w:r>
          </w:p>
        </w:tc>
        <w:tc>
          <w:tcPr>
            <w:tcW w:w="1228"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6"/>
                <w:sz w:val="24"/>
                <w:szCs w:val="24"/>
              </w:rPr>
            </w:pPr>
            <w:r>
              <w:rPr>
                <w:rFonts w:hint="eastAsia" w:ascii="仿宋_GB2312" w:hAnsi="仿宋" w:eastAsia="仿宋_GB2312" w:cs="仿宋_GB2312"/>
                <w:color w:val="000000"/>
                <w:spacing w:val="-16"/>
                <w:sz w:val="24"/>
                <w:szCs w:val="24"/>
              </w:rPr>
              <w:t>地下开矿山检查</w:t>
            </w:r>
          </w:p>
        </w:tc>
        <w:tc>
          <w:tcPr>
            <w:tcW w:w="3568" w:type="dxa"/>
            <w:vAlign w:val="center"/>
          </w:tcPr>
          <w:p>
            <w:pPr>
              <w:numPr>
                <w:ilvl w:val="0"/>
                <w:numId w:val="1"/>
              </w:numPr>
              <w:kinsoku w:val="0"/>
              <w:overflowPunct w:val="0"/>
              <w:autoSpaceDE w:val="0"/>
              <w:autoSpaceDN w:val="0"/>
              <w:adjustRightInd w:val="0"/>
              <w:snapToGrid w:val="0"/>
              <w:spacing w:line="300" w:lineRule="exact"/>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矿领导下井带班情况；</w:t>
            </w:r>
          </w:p>
          <w:p>
            <w:pPr>
              <w:numPr>
                <w:ilvl w:val="0"/>
                <w:numId w:val="1"/>
              </w:numPr>
              <w:kinsoku w:val="0"/>
              <w:overflowPunct w:val="0"/>
              <w:autoSpaceDE w:val="0"/>
              <w:autoSpaceDN w:val="0"/>
              <w:adjustRightInd w:val="0"/>
              <w:snapToGrid w:val="0"/>
              <w:spacing w:line="300" w:lineRule="exact"/>
              <w:ind w:left="0" w:leftChars="0" w:firstLine="0" w:firstLineChars="0"/>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安全出口情况</w:t>
            </w:r>
          </w:p>
          <w:p>
            <w:pPr>
              <w:numPr>
                <w:ilvl w:val="0"/>
                <w:numId w:val="1"/>
              </w:numPr>
              <w:kinsoku w:val="0"/>
              <w:overflowPunct w:val="0"/>
              <w:autoSpaceDE w:val="0"/>
              <w:autoSpaceDN w:val="0"/>
              <w:adjustRightInd w:val="0"/>
              <w:snapToGrid w:val="0"/>
              <w:spacing w:line="300" w:lineRule="exact"/>
              <w:ind w:left="0" w:leftChars="0" w:firstLine="0" w:firstLineChars="0"/>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主通风机运行监控情况；</w:t>
            </w:r>
          </w:p>
          <w:p>
            <w:pPr>
              <w:numPr>
                <w:ilvl w:val="0"/>
                <w:numId w:val="1"/>
              </w:numPr>
              <w:kinsoku w:val="0"/>
              <w:overflowPunct w:val="0"/>
              <w:autoSpaceDE w:val="0"/>
              <w:autoSpaceDN w:val="0"/>
              <w:adjustRightInd w:val="0"/>
              <w:snapToGrid w:val="0"/>
              <w:spacing w:line="300" w:lineRule="exact"/>
              <w:ind w:left="0" w:leftChars="0" w:firstLine="0" w:firstLineChars="0"/>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自救器和便携式气体检测仪配备情况；</w:t>
            </w:r>
          </w:p>
          <w:p>
            <w:pPr>
              <w:numPr>
                <w:ilvl w:val="0"/>
                <w:numId w:val="1"/>
              </w:numPr>
              <w:kinsoku w:val="0"/>
              <w:overflowPunct w:val="0"/>
              <w:autoSpaceDE w:val="0"/>
              <w:autoSpaceDN w:val="0"/>
              <w:adjustRightInd w:val="0"/>
              <w:snapToGrid w:val="0"/>
              <w:spacing w:line="300" w:lineRule="exact"/>
              <w:ind w:left="0" w:leftChars="0" w:firstLine="0" w:firstLineChars="0"/>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井下人员定位系统运行情况</w:t>
            </w:r>
          </w:p>
        </w:tc>
        <w:tc>
          <w:tcPr>
            <w:tcW w:w="1283" w:type="dxa"/>
            <w:vMerge w:val="restart"/>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地下矿山企业</w:t>
            </w:r>
          </w:p>
        </w:tc>
        <w:tc>
          <w:tcPr>
            <w:tcW w:w="1283" w:type="dxa"/>
            <w:vMerge w:val="restart"/>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《金属非金属地下矿山企业领导带班下井及监督检查暂行规定》（国家安全监管总局令第</w:t>
            </w:r>
            <w:r>
              <w:rPr>
                <w:rFonts w:ascii="仿宋_GB2312" w:hAnsi="仿宋" w:eastAsia="仿宋_GB2312" w:cs="仿宋_GB2312"/>
                <w:color w:val="000000"/>
                <w:spacing w:val="-20"/>
                <w:sz w:val="24"/>
                <w:szCs w:val="24"/>
              </w:rPr>
              <w:t>34</w:t>
            </w:r>
            <w:r>
              <w:rPr>
                <w:rFonts w:hint="eastAsia" w:ascii="仿宋_GB2312" w:hAnsi="仿宋" w:eastAsia="仿宋_GB2312" w:cs="仿宋_GB2312"/>
                <w:color w:val="000000"/>
                <w:spacing w:val="-20"/>
                <w:sz w:val="24"/>
                <w:szCs w:val="24"/>
              </w:rPr>
              <w:t>号）；《矿山安全法》第十条；《金属非金属矿山安全规程》（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章；《金属非金属地下矿山通风技术规范》（</w:t>
            </w:r>
            <w:r>
              <w:rPr>
                <w:rFonts w:ascii="仿宋_GB2312" w:hAnsi="仿宋" w:eastAsia="仿宋_GB2312" w:cs="仿宋_GB2312"/>
                <w:color w:val="000000"/>
                <w:spacing w:val="-20"/>
                <w:sz w:val="24"/>
                <w:szCs w:val="24"/>
              </w:rPr>
              <w:t>AQ2013-2008</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章；《金属非金属地下矿山紧急避险系统建设规范》（</w:t>
            </w:r>
            <w:r>
              <w:rPr>
                <w:rFonts w:ascii="仿宋_GB2312" w:hAnsi="仿宋" w:eastAsia="仿宋_GB2312" w:cs="仿宋_GB2312"/>
                <w:color w:val="000000"/>
                <w:spacing w:val="-20"/>
                <w:sz w:val="24"/>
                <w:szCs w:val="24"/>
              </w:rPr>
              <w:t>AQ2033-2011</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章；《金属非金属地下矿山监测监控系统建设规范》（</w:t>
            </w:r>
            <w:r>
              <w:rPr>
                <w:rFonts w:ascii="仿宋_GB2312" w:hAnsi="仿宋" w:eastAsia="仿宋_GB2312" w:cs="仿宋_GB2312"/>
                <w:color w:val="000000"/>
                <w:spacing w:val="-20"/>
                <w:sz w:val="24"/>
                <w:szCs w:val="24"/>
              </w:rPr>
              <w:t>AQ2031-2011</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章；《金属非金属地下矿山人员定位系统建设规范》（</w:t>
            </w:r>
            <w:r>
              <w:rPr>
                <w:rFonts w:ascii="仿宋_GB2312" w:hAnsi="仿宋" w:eastAsia="仿宋_GB2312" w:cs="仿宋_GB2312"/>
                <w:color w:val="000000"/>
                <w:spacing w:val="-20"/>
                <w:sz w:val="24"/>
                <w:szCs w:val="24"/>
              </w:rPr>
              <w:t>AQ2032-2011</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6"/>
                <w:sz w:val="24"/>
                <w:szCs w:val="24"/>
              </w:rPr>
            </w:pPr>
          </w:p>
        </w:tc>
        <w:tc>
          <w:tcPr>
            <w:tcW w:w="3568" w:type="dxa"/>
            <w:vAlign w:val="center"/>
          </w:tcPr>
          <w:p>
            <w:pPr>
              <w:numPr>
                <w:ilvl w:val="0"/>
                <w:numId w:val="2"/>
              </w:numPr>
              <w:kinsoku w:val="0"/>
              <w:overflowPunct w:val="0"/>
              <w:autoSpaceDE w:val="0"/>
              <w:autoSpaceDN w:val="0"/>
              <w:adjustRightInd w:val="0"/>
              <w:snapToGrid w:val="0"/>
              <w:spacing w:line="300" w:lineRule="exact"/>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顶板监测管控和采空区普查、治理、监测情况；</w:t>
            </w:r>
          </w:p>
          <w:p>
            <w:pPr>
              <w:numPr>
                <w:ilvl w:val="0"/>
                <w:numId w:val="2"/>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探放水制度落实、水害隐患治理情况；</w:t>
            </w:r>
          </w:p>
          <w:p>
            <w:pPr>
              <w:numPr>
                <w:ilvl w:val="0"/>
                <w:numId w:val="2"/>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提升设备定期检测检验情况</w:t>
            </w: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restart"/>
            <w:vAlign w:val="center"/>
          </w:tcPr>
          <w:p>
            <w:pPr>
              <w:kinsoku w:val="0"/>
              <w:overflowPunct w:val="0"/>
              <w:autoSpaceDE w:val="0"/>
              <w:autoSpaceDN w:val="0"/>
              <w:adjustRightInd w:val="0"/>
              <w:snapToGrid w:val="0"/>
              <w:spacing w:line="30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30</w:t>
            </w:r>
          </w:p>
        </w:tc>
        <w:tc>
          <w:tcPr>
            <w:tcW w:w="1228"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露天矿山检查</w:t>
            </w:r>
          </w:p>
        </w:tc>
        <w:tc>
          <w:tcPr>
            <w:tcW w:w="3568" w:type="dxa"/>
            <w:vAlign w:val="center"/>
          </w:tcPr>
          <w:p>
            <w:pPr>
              <w:numPr>
                <w:ilvl w:val="0"/>
                <w:numId w:val="3"/>
              </w:numPr>
              <w:kinsoku w:val="0"/>
              <w:overflowPunct w:val="0"/>
              <w:autoSpaceDE w:val="0"/>
              <w:autoSpaceDN w:val="0"/>
              <w:adjustRightInd w:val="0"/>
              <w:snapToGrid w:val="0"/>
              <w:spacing w:line="300" w:lineRule="exact"/>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爆破安全距离；</w:t>
            </w:r>
          </w:p>
          <w:p>
            <w:pPr>
              <w:numPr>
                <w:ilvl w:val="0"/>
                <w:numId w:val="3"/>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按设计参数分层分台阶开采情况</w:t>
            </w:r>
          </w:p>
          <w:p>
            <w:pPr>
              <w:numPr>
                <w:ilvl w:val="0"/>
                <w:numId w:val="3"/>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中深孔爆破作业落实情况。</w:t>
            </w:r>
          </w:p>
        </w:tc>
        <w:tc>
          <w:tcPr>
            <w:tcW w:w="1283" w:type="dxa"/>
            <w:vMerge w:val="restart"/>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露天矿山企业</w:t>
            </w: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《小型露天采石场安全管理与监督检查规定》（国家安全监管总局令第</w:t>
            </w:r>
            <w:r>
              <w:rPr>
                <w:rFonts w:ascii="仿宋_GB2312" w:hAnsi="仿宋" w:eastAsia="仿宋_GB2312" w:cs="仿宋_GB2312"/>
                <w:color w:val="000000"/>
                <w:spacing w:val="-20"/>
                <w:sz w:val="24"/>
                <w:szCs w:val="24"/>
              </w:rPr>
              <w:t>39</w:t>
            </w:r>
            <w:r>
              <w:rPr>
                <w:rFonts w:hint="eastAsia" w:ascii="仿宋_GB2312" w:hAnsi="仿宋" w:eastAsia="仿宋_GB2312" w:cs="仿宋_GB2312"/>
                <w:color w:val="000000"/>
                <w:spacing w:val="-20"/>
                <w:sz w:val="24"/>
                <w:szCs w:val="24"/>
              </w:rPr>
              <w:t>号）；《爆破安全规程》（</w:t>
            </w:r>
            <w:r>
              <w:rPr>
                <w:rFonts w:ascii="仿宋_GB2312" w:hAnsi="仿宋" w:eastAsia="仿宋_GB2312" w:cs="仿宋_GB2312"/>
                <w:color w:val="000000"/>
                <w:spacing w:val="-20"/>
                <w:sz w:val="24"/>
                <w:szCs w:val="24"/>
              </w:rPr>
              <w:t>GB6722-2014</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13</w:t>
            </w:r>
            <w:r>
              <w:rPr>
                <w:rFonts w:hint="eastAsia" w:ascii="仿宋_GB2312" w:hAnsi="仿宋" w:eastAsia="仿宋_GB2312" w:cs="仿宋_GB2312"/>
                <w:color w:val="000000"/>
                <w:spacing w:val="-20"/>
                <w:sz w:val="24"/>
                <w:szCs w:val="24"/>
              </w:rPr>
              <w:t>章；《金属非金属矿山安全规程》（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7"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ascii="仿宋_GB2312" w:hAnsi="仿宋" w:eastAsia="仿宋_GB2312" w:cs="仿宋_GB2312"/>
                <w:color w:val="000000"/>
                <w:spacing w:val="-12"/>
                <w:sz w:val="24"/>
                <w:szCs w:val="24"/>
              </w:rPr>
              <w:t>1</w:t>
            </w:r>
            <w:r>
              <w:rPr>
                <w:rFonts w:hint="eastAsia" w:ascii="仿宋_GB2312" w:hAnsi="仿宋" w:eastAsia="仿宋_GB2312" w:cs="仿宋_GB2312"/>
                <w:color w:val="000000"/>
                <w:spacing w:val="-12"/>
                <w:sz w:val="24"/>
                <w:szCs w:val="24"/>
              </w:rPr>
              <w:t>、机械二次破碎和铲装作业情况；</w:t>
            </w:r>
            <w:r>
              <w:rPr>
                <w:rFonts w:ascii="仿宋_GB2312" w:hAnsi="仿宋" w:eastAsia="仿宋_GB2312" w:cs="仿宋_GB2312"/>
                <w:color w:val="000000"/>
                <w:spacing w:val="-12"/>
                <w:sz w:val="24"/>
                <w:szCs w:val="24"/>
              </w:rPr>
              <w:t>2</w:t>
            </w:r>
            <w:r>
              <w:rPr>
                <w:rFonts w:hint="eastAsia" w:ascii="仿宋_GB2312" w:hAnsi="仿宋" w:eastAsia="仿宋_GB2312" w:cs="仿宋_GB2312"/>
                <w:color w:val="000000"/>
                <w:spacing w:val="-12"/>
                <w:sz w:val="24"/>
                <w:szCs w:val="24"/>
              </w:rPr>
              <w:t>、按设计控制边坡参数和安全检查情况；</w:t>
            </w:r>
            <w:r>
              <w:rPr>
                <w:rFonts w:ascii="仿宋_GB2312" w:hAnsi="仿宋" w:eastAsia="仿宋_GB2312" w:cs="仿宋_GB2312"/>
                <w:color w:val="000000"/>
                <w:spacing w:val="-12"/>
                <w:sz w:val="24"/>
                <w:szCs w:val="24"/>
              </w:rPr>
              <w:t>3</w:t>
            </w:r>
            <w:r>
              <w:rPr>
                <w:rFonts w:hint="eastAsia" w:ascii="仿宋_GB2312" w:hAnsi="仿宋" w:eastAsia="仿宋_GB2312" w:cs="仿宋_GB2312"/>
                <w:color w:val="000000"/>
                <w:spacing w:val="-12"/>
                <w:sz w:val="24"/>
                <w:szCs w:val="24"/>
              </w:rPr>
              <w:t>、按设计控制排土场堆置参数和安全检查情况</w:t>
            </w: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《小型露天采石场安全管理与监督检查规定》（国家安全监管总局令第</w:t>
            </w:r>
            <w:r>
              <w:rPr>
                <w:rFonts w:ascii="仿宋_GB2312" w:hAnsi="仿宋" w:eastAsia="仿宋_GB2312" w:cs="仿宋_GB2312"/>
                <w:color w:val="000000"/>
                <w:spacing w:val="-20"/>
                <w:sz w:val="24"/>
                <w:szCs w:val="24"/>
              </w:rPr>
              <w:t>39</w:t>
            </w:r>
            <w:r>
              <w:rPr>
                <w:rFonts w:hint="eastAsia" w:ascii="仿宋_GB2312" w:hAnsi="仿宋" w:eastAsia="仿宋_GB2312" w:cs="仿宋_GB2312"/>
                <w:color w:val="000000"/>
                <w:spacing w:val="-20"/>
                <w:sz w:val="24"/>
                <w:szCs w:val="24"/>
              </w:rPr>
              <w:t>号）；《金属非金属矿山安全规程》（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章；《金属非金属矿山排土场安全生产规则》（</w:t>
            </w:r>
            <w:r>
              <w:rPr>
                <w:rFonts w:ascii="仿宋_GB2312" w:hAnsi="仿宋" w:eastAsia="仿宋_GB2312" w:cs="仿宋_GB2312"/>
                <w:color w:val="000000"/>
                <w:spacing w:val="-20"/>
                <w:sz w:val="24"/>
                <w:szCs w:val="24"/>
              </w:rPr>
              <w:t>AQ2005-2005</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31</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、勘察、设计、施工、监理、安全评价等中介机构资质情况；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、安全现状评价、全面勘察及稳定性专项评价完成情况；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、尾矿库试运行情况；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、按照设计放矿、筑坝情况</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《尾矿库安全监督管理规定》（国家安全监管总局令第</w:t>
            </w:r>
            <w:r>
              <w:rPr>
                <w:rFonts w:ascii="仿宋_GB2312" w:hAnsi="仿宋" w:eastAsia="仿宋_GB2312" w:cs="仿宋_GB2312"/>
                <w:color w:val="000000"/>
                <w:spacing w:val="-20"/>
                <w:sz w:val="24"/>
                <w:szCs w:val="24"/>
              </w:rPr>
              <w:t>38</w:t>
            </w:r>
            <w:r>
              <w:rPr>
                <w:rFonts w:hint="eastAsia" w:ascii="仿宋_GB2312" w:hAnsi="仿宋" w:eastAsia="仿宋_GB2312" w:cs="仿宋_GB2312"/>
                <w:color w:val="000000"/>
                <w:spacing w:val="-20"/>
                <w:sz w:val="24"/>
                <w:szCs w:val="24"/>
              </w:rPr>
              <w:t>号）；《尾矿设施设计规范》（</w:t>
            </w:r>
            <w:r>
              <w:rPr>
                <w:rFonts w:ascii="仿宋_GB2312" w:hAnsi="仿宋" w:eastAsia="仿宋_GB2312" w:cs="仿宋_GB2312"/>
                <w:color w:val="000000"/>
                <w:spacing w:val="-20"/>
                <w:sz w:val="24"/>
                <w:szCs w:val="24"/>
              </w:rPr>
              <w:t>GB50863-2013</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章；《尾矿库安全技术规程》（</w:t>
            </w:r>
            <w:r>
              <w:rPr>
                <w:rFonts w:ascii="仿宋_GB2312" w:hAnsi="仿宋" w:eastAsia="仿宋_GB2312" w:cs="仿宋_GB2312"/>
                <w:color w:val="000000"/>
                <w:spacing w:val="-20"/>
                <w:sz w:val="24"/>
                <w:szCs w:val="24"/>
              </w:rPr>
              <w:t>AQ2006-2005</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、排洪、排渗设施情况；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、尾矿库在线监测系统运行情况；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、危、险库停产整改、病库限期整改情况；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、应急预案备案情况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《尾矿库安全技术规程》（</w:t>
            </w:r>
            <w:r>
              <w:rPr>
                <w:rFonts w:ascii="仿宋_GB2312" w:hAnsi="仿宋" w:eastAsia="仿宋_GB2312" w:cs="仿宋_GB2312"/>
                <w:color w:val="000000"/>
                <w:spacing w:val="-20"/>
                <w:sz w:val="24"/>
                <w:szCs w:val="24"/>
              </w:rPr>
              <w:t>AQ2006-2005</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7</w:t>
            </w:r>
            <w:r>
              <w:rPr>
                <w:rFonts w:hint="eastAsia" w:ascii="仿宋_GB2312" w:hAnsi="仿宋" w:eastAsia="仿宋_GB2312" w:cs="仿宋_GB2312"/>
                <w:color w:val="000000"/>
                <w:spacing w:val="-20"/>
                <w:sz w:val="24"/>
                <w:szCs w:val="24"/>
              </w:rPr>
              <w:t>章；第</w:t>
            </w:r>
            <w:r>
              <w:rPr>
                <w:rFonts w:ascii="仿宋_GB2312" w:hAnsi="仿宋" w:eastAsia="仿宋_GB2312" w:cs="仿宋_GB2312"/>
                <w:color w:val="000000"/>
                <w:spacing w:val="-20"/>
                <w:sz w:val="24"/>
                <w:szCs w:val="24"/>
              </w:rPr>
              <w:t>8</w:t>
            </w:r>
            <w:r>
              <w:rPr>
                <w:rFonts w:hint="eastAsia" w:ascii="仿宋_GB2312" w:hAnsi="仿宋" w:eastAsia="仿宋_GB2312" w:cs="仿宋_GB2312"/>
                <w:color w:val="000000"/>
                <w:spacing w:val="-20"/>
                <w:sz w:val="24"/>
                <w:szCs w:val="24"/>
              </w:rPr>
              <w:t>章《尾矿库安全监督管理规定》（国家安全监管总局令第</w:t>
            </w:r>
            <w:r>
              <w:rPr>
                <w:rFonts w:ascii="仿宋_GB2312" w:hAnsi="仿宋" w:eastAsia="仿宋_GB2312" w:cs="仿宋_GB2312"/>
                <w:color w:val="000000"/>
                <w:spacing w:val="-20"/>
                <w:sz w:val="24"/>
                <w:szCs w:val="24"/>
              </w:rPr>
              <w:t>38</w:t>
            </w:r>
            <w:r>
              <w:rPr>
                <w:rFonts w:hint="eastAsia" w:ascii="仿宋_GB2312" w:hAnsi="仿宋" w:eastAsia="仿宋_GB2312" w:cs="仿宋_GB2312"/>
                <w:color w:val="000000"/>
                <w:spacing w:val="-20"/>
                <w:sz w:val="24"/>
                <w:szCs w:val="24"/>
              </w:rPr>
              <w:t>号）；《尾矿库安全监测技术规范》（</w:t>
            </w:r>
            <w:r>
              <w:rPr>
                <w:rFonts w:ascii="仿宋_GB2312" w:hAnsi="仿宋" w:eastAsia="仿宋_GB2312" w:cs="仿宋_GB2312"/>
                <w:color w:val="000000"/>
                <w:spacing w:val="-20"/>
                <w:sz w:val="24"/>
                <w:szCs w:val="24"/>
              </w:rPr>
              <w:t>AQ2030-2010</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7"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32</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化工企业和危险化学品生产、经营（带仓储设施）企业检查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、人员和资质管理情况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、工艺管理情况</w:t>
            </w:r>
          </w:p>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、设备设施管理情况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、危险化学品安全技术说明书、安全标签及储存管理情况</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生产单位、经营单位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十八条、第十九条、第二十四条、第二十五条、第三十三条、第三十五条、第三十八条、第二十七条、第四十六条、第五十四条《危险化学品安全管理条例》第十四条、第二十九条、第三十三条《危险化学品生产企业安全生产许可证实施办法》（国家安全监管总局令第</w:t>
            </w:r>
            <w:r>
              <w:rPr>
                <w:rFonts w:ascii="仿宋_GB2312" w:hAnsi="仿宋" w:eastAsia="仿宋_GB2312" w:cs="仿宋_GB2312"/>
                <w:color w:val="000000"/>
                <w:spacing w:val="-20"/>
                <w:sz w:val="24"/>
                <w:szCs w:val="24"/>
              </w:rPr>
              <w:t>41</w:t>
            </w:r>
            <w:r>
              <w:rPr>
                <w:rFonts w:hint="eastAsia" w:ascii="仿宋_GB2312" w:hAnsi="仿宋" w:eastAsia="仿宋_GB2312" w:cs="仿宋_GB2312"/>
                <w:color w:val="000000"/>
                <w:spacing w:val="-20"/>
                <w:sz w:val="24"/>
                <w:szCs w:val="24"/>
              </w:rPr>
              <w:t>号）《危险化学品安全管理条例》第十五条、第二十四条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33</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非药品易制毒化学品生产、经营企业检查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、许可（备案）条件保持情况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、报告生产、经营的非药品类易制毒化学品的品种、数量和主要流向等情况</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生产单位、经营单位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《易制毒化学品管理条例》第七条、第八条、第九条、第十条、第十一条、第十二条、第十三条、第三十二条；《非药品类易制毒化学品生产、经营许可办法》</w:t>
            </w:r>
            <w:r>
              <w:rPr>
                <w:rFonts w:ascii="仿宋_GB2312" w:hAnsi="仿宋" w:eastAsia="仿宋_GB2312" w:cs="仿宋_GB2312"/>
                <w:color w:val="000000"/>
                <w:spacing w:val="-20"/>
                <w:sz w:val="24"/>
                <w:szCs w:val="24"/>
              </w:rPr>
              <w:t>(</w:t>
            </w:r>
            <w:r>
              <w:rPr>
                <w:rFonts w:hint="eastAsia" w:ascii="仿宋_GB2312" w:hAnsi="仿宋" w:eastAsia="仿宋_GB2312" w:cs="仿宋_GB2312"/>
                <w:color w:val="000000"/>
                <w:spacing w:val="-20"/>
                <w:sz w:val="24"/>
                <w:szCs w:val="24"/>
              </w:rPr>
              <w:t>国家安全监管总局令第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号</w:t>
            </w:r>
            <w:r>
              <w:rPr>
                <w:rFonts w:ascii="仿宋_GB2312" w:hAnsi="仿宋" w:eastAsia="仿宋_GB2312" w:cs="仿宋_GB2312"/>
                <w:color w:val="000000"/>
                <w:spacing w:val="-20"/>
                <w:sz w:val="24"/>
                <w:szCs w:val="24"/>
              </w:rPr>
              <w:t>)</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34</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烟花爆竹生产、经营企业检查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、生产许可条件保持情况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、生产活动情况；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、批发许可条件保持情况；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、零售许可条件保持情况；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、经营活动情况</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生产单位、经营单位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《烟花爆竹安全管理条例》第八条、第十条至第十五条，第十七条、第十八条、第二十条、第二十一条；；《烟花爆竹生产企业安全生产许可证实施办法》（国家安全监管总局令第</w:t>
            </w:r>
            <w:r>
              <w:rPr>
                <w:rFonts w:ascii="仿宋_GB2312" w:hAnsi="仿宋" w:eastAsia="仿宋_GB2312" w:cs="仿宋_GB2312"/>
                <w:color w:val="000000"/>
                <w:spacing w:val="-20"/>
                <w:sz w:val="24"/>
                <w:szCs w:val="24"/>
              </w:rPr>
              <w:t>54</w:t>
            </w:r>
            <w:r>
              <w:rPr>
                <w:rFonts w:hint="eastAsia" w:ascii="仿宋_GB2312" w:hAnsi="仿宋" w:eastAsia="仿宋_GB2312" w:cs="仿宋_GB2312"/>
                <w:color w:val="000000"/>
                <w:spacing w:val="-20"/>
                <w:sz w:val="24"/>
                <w:szCs w:val="24"/>
              </w:rPr>
              <w:t>号）；《烟花爆竹安全管理条例》第十条至第十五条，第二十一条；《烟花爆竹经营许可证实施办法》（国家安全监管总局令第</w:t>
            </w:r>
            <w:r>
              <w:rPr>
                <w:rFonts w:ascii="仿宋_GB2312" w:hAnsi="仿宋" w:eastAsia="仿宋_GB2312" w:cs="仿宋_GB2312"/>
                <w:color w:val="000000"/>
                <w:spacing w:val="-20"/>
                <w:sz w:val="24"/>
                <w:szCs w:val="24"/>
              </w:rPr>
              <w:t>65</w:t>
            </w:r>
            <w:r>
              <w:rPr>
                <w:rFonts w:hint="eastAsia" w:ascii="仿宋_GB2312" w:hAnsi="仿宋" w:eastAsia="仿宋_GB2312" w:cs="仿宋_GB2312"/>
                <w:color w:val="000000"/>
                <w:spacing w:val="-20"/>
                <w:sz w:val="24"/>
                <w:szCs w:val="24"/>
              </w:rPr>
              <w:t>号）</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35</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工贸企业检查</w:t>
            </w:r>
          </w:p>
        </w:tc>
        <w:tc>
          <w:tcPr>
            <w:tcW w:w="3568"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、安全生产管理机构设置情况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、主要负责人和安全生产管理人员考核情况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、较大危险因素辨识管控措施的落实情况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、新、改、扩建项目安全设施三同时履行情况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、特种作业人员持证上岗情况</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、粉尘爆炸危险场所的设置情况</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工贸企业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8"/>
                <w:sz w:val="24"/>
                <w:szCs w:val="24"/>
              </w:rPr>
              <w:t>《安全生产法》第二十一条、第二十三条、第三十二条、第三十条、《特种作业人员安全技术培训考核管理规定》（国家安全监管总局令第</w:t>
            </w:r>
            <w:r>
              <w:rPr>
                <w:rFonts w:ascii="仿宋_GB2312" w:hAnsi="仿宋" w:eastAsia="仿宋_GB2312" w:cs="仿宋_GB2312"/>
                <w:color w:val="000000"/>
                <w:spacing w:val="-28"/>
                <w:sz w:val="24"/>
                <w:szCs w:val="24"/>
              </w:rPr>
              <w:t>30</w:t>
            </w:r>
            <w:r>
              <w:rPr>
                <w:rFonts w:hint="eastAsia" w:ascii="仿宋_GB2312" w:hAnsi="仿宋" w:eastAsia="仿宋_GB2312" w:cs="仿宋_GB2312"/>
                <w:color w:val="000000"/>
                <w:spacing w:val="-28"/>
                <w:sz w:val="24"/>
                <w:szCs w:val="24"/>
              </w:rPr>
              <w:t>号）《建筑设计防火规范》（</w:t>
            </w:r>
            <w:r>
              <w:rPr>
                <w:rFonts w:ascii="仿宋_GB2312" w:hAnsi="仿宋" w:eastAsia="仿宋_GB2312" w:cs="仿宋_GB2312"/>
                <w:color w:val="000000"/>
                <w:spacing w:val="-28"/>
                <w:sz w:val="24"/>
                <w:szCs w:val="24"/>
              </w:rPr>
              <w:t>GB50016-2014</w:t>
            </w:r>
            <w:r>
              <w:rPr>
                <w:rFonts w:hint="eastAsia" w:ascii="仿宋_GB2312" w:hAnsi="仿宋" w:eastAsia="仿宋_GB2312" w:cs="仿宋_GB2312"/>
                <w:color w:val="000000"/>
                <w:spacing w:val="-28"/>
                <w:sz w:val="24"/>
                <w:szCs w:val="24"/>
              </w:rPr>
              <w:t>）</w:t>
            </w:r>
            <w:r>
              <w:rPr>
                <w:rFonts w:ascii="仿宋_GB2312" w:hAnsi="仿宋" w:eastAsia="仿宋_GB2312" w:cs="仿宋_GB2312"/>
                <w:color w:val="000000"/>
                <w:spacing w:val="-28"/>
                <w:sz w:val="24"/>
                <w:szCs w:val="24"/>
              </w:rPr>
              <w:t>3.6.1</w:t>
            </w:r>
            <w:r>
              <w:rPr>
                <w:rFonts w:hint="eastAsia" w:ascii="仿宋_GB2312" w:hAnsi="仿宋" w:eastAsia="仿宋_GB2312" w:cs="仿宋_GB2312"/>
                <w:color w:val="000000"/>
                <w:spacing w:val="-28"/>
                <w:sz w:val="24"/>
                <w:szCs w:val="24"/>
              </w:rPr>
              <w:t>；《粉尘防爆安全规程》（</w:t>
            </w:r>
            <w:r>
              <w:rPr>
                <w:rFonts w:ascii="仿宋_GB2312" w:hAnsi="仿宋" w:eastAsia="仿宋_GB2312" w:cs="仿宋_GB2312"/>
                <w:color w:val="000000"/>
                <w:spacing w:val="-28"/>
                <w:sz w:val="24"/>
                <w:szCs w:val="24"/>
              </w:rPr>
              <w:t>GB15577-2007</w:t>
            </w:r>
            <w:r>
              <w:rPr>
                <w:rFonts w:hint="eastAsia" w:ascii="仿宋_GB2312" w:hAnsi="仿宋" w:eastAsia="仿宋_GB2312" w:cs="仿宋_GB2312"/>
                <w:color w:val="000000"/>
                <w:spacing w:val="-28"/>
                <w:sz w:val="24"/>
                <w:szCs w:val="24"/>
              </w:rPr>
              <w:t>）</w:t>
            </w:r>
            <w:r>
              <w:rPr>
                <w:rFonts w:ascii="仿宋_GB2312" w:hAnsi="仿宋" w:eastAsia="仿宋_GB2312" w:cs="仿宋_GB2312"/>
                <w:color w:val="000000"/>
                <w:spacing w:val="-28"/>
                <w:sz w:val="24"/>
                <w:szCs w:val="24"/>
              </w:rPr>
              <w:t>5.1</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、除尘系统的安全技术状况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、防爆电气设备设施的使用情况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、粉尘清扫情况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、粉碎、研磨、造粒等易于产生机械点火源的工艺前去除异物装置设置情况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、砂光机风管火花探测报警装置设置情况</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、干式除尘系统未规范设置锁气卸灰装置</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5.1</w:t>
            </w: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6.5</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6.6.1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7.3 </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7.4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7.5</w:t>
            </w:r>
            <w:r>
              <w:rPr>
                <w:rFonts w:hint="eastAsia" w:ascii="仿宋_GB2312" w:hAnsi="仿宋" w:eastAsia="仿宋_GB2312" w:cs="仿宋_GB2312"/>
                <w:color w:val="000000"/>
                <w:spacing w:val="-20"/>
                <w:sz w:val="24"/>
                <w:szCs w:val="24"/>
              </w:rPr>
              <w:t>《工业建筑供暖通风与空气调节设计规范》</w:t>
            </w:r>
            <w:r>
              <w:rPr>
                <w:rFonts w:ascii="仿宋_GB2312" w:hAnsi="仿宋" w:eastAsia="仿宋_GB2312" w:cs="仿宋_GB2312"/>
                <w:color w:val="000000"/>
                <w:spacing w:val="-20"/>
                <w:sz w:val="24"/>
                <w:szCs w:val="24"/>
              </w:rPr>
              <w:t xml:space="preserve"> </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GB 50019-2015</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 6.9.13</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《建筑设计防火规范》（</w:t>
            </w:r>
            <w:r>
              <w:rPr>
                <w:rFonts w:ascii="仿宋_GB2312" w:hAnsi="仿宋" w:eastAsia="仿宋_GB2312" w:cs="仿宋_GB2312"/>
                <w:color w:val="000000"/>
                <w:spacing w:val="-20"/>
                <w:sz w:val="24"/>
                <w:szCs w:val="24"/>
              </w:rPr>
              <w:t>GB 50016-2014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9.3.8</w:t>
            </w:r>
            <w:r>
              <w:rPr>
                <w:rFonts w:hint="eastAsia" w:ascii="仿宋_GB2312" w:hAnsi="仿宋" w:eastAsia="仿宋_GB2312" w:cs="仿宋_GB2312"/>
                <w:color w:val="000000"/>
                <w:spacing w:val="-20"/>
                <w:sz w:val="24"/>
                <w:szCs w:val="24"/>
              </w:rPr>
              <w:t>《爆炸危险环境电力装置设计规范》</w:t>
            </w:r>
            <w:r>
              <w:rPr>
                <w:rFonts w:ascii="仿宋_GB2312" w:hAnsi="仿宋" w:eastAsia="仿宋_GB2312" w:cs="仿宋_GB2312"/>
                <w:color w:val="000000"/>
                <w:spacing w:val="-20"/>
                <w:sz w:val="24"/>
                <w:szCs w:val="24"/>
              </w:rPr>
              <w:t>5.2.1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5.2.2</w:t>
            </w:r>
            <w:r>
              <w:rPr>
                <w:rFonts w:hint="eastAsia" w:ascii="仿宋_GB2312" w:hAnsi="仿宋" w:eastAsia="仿宋_GB2312" w:cs="仿宋_GB2312"/>
                <w:color w:val="000000"/>
                <w:spacing w:val="-20"/>
                <w:sz w:val="24"/>
                <w:szCs w:val="24"/>
              </w:rPr>
              <w:t>和</w:t>
            </w:r>
            <w:r>
              <w:rPr>
                <w:rFonts w:ascii="仿宋_GB2312" w:hAnsi="仿宋" w:eastAsia="仿宋_GB2312" w:cs="仿宋_GB2312"/>
                <w:color w:val="000000"/>
                <w:spacing w:val="-20"/>
                <w:sz w:val="24"/>
                <w:szCs w:val="24"/>
              </w:rPr>
              <w:t>5.2.3</w:t>
            </w: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8.3.1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8.3.2</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6.4.2</w:t>
            </w:r>
            <w:r>
              <w:rPr>
                <w:rFonts w:hint="eastAsia" w:ascii="仿宋_GB2312" w:hAnsi="仿宋" w:eastAsia="仿宋_GB2312" w:cs="仿宋_GB2312"/>
                <w:color w:val="000000"/>
                <w:spacing w:val="-20"/>
                <w:sz w:val="24"/>
                <w:szCs w:val="24"/>
              </w:rPr>
              <w:t>《木材加工系统粉尘防爆安全规范》（</w:t>
            </w:r>
            <w:r>
              <w:rPr>
                <w:rFonts w:ascii="仿宋_GB2312" w:hAnsi="仿宋" w:eastAsia="仿宋_GB2312" w:cs="仿宋_GB2312"/>
                <w:color w:val="000000"/>
                <w:spacing w:val="-20"/>
                <w:sz w:val="24"/>
                <w:szCs w:val="24"/>
              </w:rPr>
              <w:t>AQ 4228-2012</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6.2.1.2</w:t>
            </w: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6.6.4</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36</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工贸企业检查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、包装间、切割室、产品整理间等人员较多场所空调系统的制冷方式；</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、构成重大危险源的储氨单元的登记建档情况；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、有限空间作业场所安全警示标志的设置情况；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、有限空间作业审批制度的落实情况；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、有限空间作业程序的规范和落实情况</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工贸企业</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《冷库设计规范》（</w:t>
            </w:r>
            <w:r>
              <w:rPr>
                <w:rFonts w:ascii="仿宋_GB2312" w:hAnsi="仿宋" w:eastAsia="仿宋_GB2312" w:cs="仿宋_GB2312"/>
                <w:color w:val="000000"/>
                <w:spacing w:val="-20"/>
                <w:sz w:val="24"/>
                <w:szCs w:val="24"/>
              </w:rPr>
              <w:t>GB50072-2010)6.2.7</w:t>
            </w:r>
          </w:p>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《安全生产法》第三十七条；《危险化学品重大危险源监督管理暂行规定》（国家安全监管总局令第</w:t>
            </w:r>
            <w:r>
              <w:rPr>
                <w:rFonts w:ascii="仿宋_GB2312" w:hAnsi="仿宋" w:eastAsia="仿宋_GB2312" w:cs="仿宋_GB2312"/>
                <w:color w:val="000000"/>
                <w:spacing w:val="-20"/>
                <w:sz w:val="24"/>
                <w:szCs w:val="24"/>
              </w:rPr>
              <w:t>40</w:t>
            </w:r>
            <w:r>
              <w:rPr>
                <w:rFonts w:hint="eastAsia" w:ascii="仿宋_GB2312" w:hAnsi="仿宋" w:eastAsia="仿宋_GB2312" w:cs="仿宋_GB2312"/>
                <w:color w:val="000000"/>
                <w:spacing w:val="-20"/>
                <w:sz w:val="24"/>
                <w:szCs w:val="24"/>
              </w:rPr>
              <w:t>号）工贸企业有限空间作业安全管理与监督暂行规定（国家安全监管总局令第</w:t>
            </w:r>
            <w:r>
              <w:rPr>
                <w:rFonts w:ascii="仿宋_GB2312" w:hAnsi="仿宋" w:eastAsia="仿宋_GB2312" w:cs="仿宋_GB2312"/>
                <w:color w:val="000000"/>
                <w:spacing w:val="-20"/>
                <w:sz w:val="24"/>
                <w:szCs w:val="24"/>
              </w:rPr>
              <w:t>59</w:t>
            </w:r>
            <w:r>
              <w:rPr>
                <w:rFonts w:hint="eastAsia" w:ascii="仿宋_GB2312" w:hAnsi="仿宋" w:eastAsia="仿宋_GB2312" w:cs="仿宋_GB2312"/>
                <w:color w:val="000000"/>
                <w:spacing w:val="-20"/>
                <w:sz w:val="24"/>
                <w:szCs w:val="24"/>
              </w:rPr>
              <w:t>号）</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5"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37</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、会议室、活动室、休息室、更衣室等人员聚集场所是否设置在危险区域情况；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、吊运铁水、钢水的起重机备是否符合冶金铸造起重机要求及年检情况；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、盛装铁水、钢水与液渣的罐（包、盆）等容器耳轴检测情况；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、高温熔融金属冶炼、吊运区域是否存在积水情况；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、煤气可能泄漏的危险区域警示标示及固定报警仪设置情况</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重点</w:t>
            </w:r>
          </w:p>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continue"/>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《冶金企业安全生产监督管理规定》（国家安全监管总局令第</w:t>
            </w:r>
            <w:r>
              <w:rPr>
                <w:rFonts w:ascii="仿宋_GB2312" w:hAnsi="仿宋" w:eastAsia="仿宋_GB2312" w:cs="仿宋_GB2312"/>
                <w:color w:val="000000"/>
                <w:spacing w:val="-20"/>
                <w:sz w:val="24"/>
                <w:szCs w:val="24"/>
              </w:rPr>
              <w:t>26</w:t>
            </w:r>
            <w:r>
              <w:rPr>
                <w:rFonts w:hint="eastAsia" w:ascii="仿宋_GB2312" w:hAnsi="仿宋" w:eastAsia="仿宋_GB2312" w:cs="仿宋_GB2312"/>
                <w:color w:val="000000"/>
                <w:spacing w:val="-20"/>
                <w:sz w:val="24"/>
                <w:szCs w:val="24"/>
              </w:rPr>
              <w:t>号）</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《炼钢安全规程》（</w:t>
            </w:r>
            <w:r>
              <w:rPr>
                <w:rFonts w:ascii="仿宋_GB2312" w:hAnsi="仿宋" w:eastAsia="仿宋_GB2312" w:cs="仿宋_GB2312"/>
                <w:color w:val="000000"/>
                <w:spacing w:val="-20"/>
                <w:sz w:val="24"/>
                <w:szCs w:val="24"/>
              </w:rPr>
              <w:t>AQ2001-2004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8.4.4</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《炼钢安全规程》（</w:t>
            </w:r>
            <w:r>
              <w:rPr>
                <w:rFonts w:ascii="仿宋_GB2312" w:hAnsi="仿宋" w:eastAsia="仿宋_GB2312" w:cs="仿宋_GB2312"/>
                <w:color w:val="000000"/>
                <w:spacing w:val="-20"/>
                <w:sz w:val="24"/>
                <w:szCs w:val="24"/>
              </w:rPr>
              <w:t>AQ2001-2004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8.1.3</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《炼钢安全规程》（</w:t>
            </w:r>
            <w:r>
              <w:rPr>
                <w:rFonts w:ascii="仿宋_GB2312" w:hAnsi="仿宋" w:eastAsia="仿宋_GB2312" w:cs="仿宋_GB2312"/>
                <w:color w:val="000000"/>
                <w:spacing w:val="-20"/>
                <w:sz w:val="24"/>
                <w:szCs w:val="24"/>
              </w:rPr>
              <w:t>AQ2001-2004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6.2.6 </w:t>
            </w:r>
          </w:p>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《冶金企业安全生产监督管理规定》（国家安全监管总局令第</w:t>
            </w:r>
            <w:r>
              <w:rPr>
                <w:rFonts w:ascii="仿宋_GB2312" w:hAnsi="仿宋" w:eastAsia="仿宋_GB2312" w:cs="仿宋_GB2312"/>
                <w:color w:val="000000"/>
                <w:spacing w:val="-20"/>
                <w:sz w:val="24"/>
                <w:szCs w:val="24"/>
              </w:rPr>
              <w:t>26</w:t>
            </w:r>
            <w:r>
              <w:rPr>
                <w:rFonts w:hint="eastAsia" w:ascii="仿宋_GB2312" w:hAnsi="仿宋" w:eastAsia="仿宋_GB2312" w:cs="仿宋_GB2312"/>
                <w:color w:val="000000"/>
                <w:spacing w:val="-20"/>
                <w:sz w:val="24"/>
                <w:szCs w:val="24"/>
              </w:rPr>
              <w:t>号）</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38</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12"/>
                <w:sz w:val="24"/>
                <w:szCs w:val="24"/>
              </w:rPr>
              <w:t>生产经营单位综合检查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、安全生产责任制和安全生产规章制度、操作规程制定、执行和适时修改情况；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、安全投入及劳动防护用品经费、安全培训经费保障情况；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、安全生产管理机构设置、安全生产管理人员配备情况；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、从业人员安全生产教育和培训计划、实施及档案管理情况；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、特种作业人员持证上岗、培训及档案情况</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各类生产经营单位</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continue"/>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《安全生产法》第十八条、第二十条、第二十一条、第二十四条、第二十五条、第二十六条、第二十七条；《陕西省安全生产条例》第十条；　《生产经营单位安全培训规定》（国家安全监管总局令第</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号）、《特种作业人员安全技术培训考核管理规定》（国家安全监管总局令第</w:t>
            </w:r>
            <w:r>
              <w:rPr>
                <w:rFonts w:ascii="仿宋_GB2312" w:hAnsi="仿宋" w:eastAsia="仿宋_GB2312" w:cs="仿宋_GB2312"/>
                <w:color w:val="000000"/>
                <w:spacing w:val="-20"/>
                <w:sz w:val="24"/>
                <w:szCs w:val="24"/>
              </w:rPr>
              <w:t>30</w:t>
            </w:r>
            <w:r>
              <w:rPr>
                <w:rFonts w:hint="eastAsia" w:ascii="仿宋_GB2312" w:hAnsi="仿宋" w:eastAsia="仿宋_GB2312" w:cs="仿宋_GB2312"/>
                <w:color w:val="000000"/>
                <w:spacing w:val="-20"/>
                <w:sz w:val="24"/>
                <w:szCs w:val="24"/>
              </w:rPr>
              <w:t>号）《安全生产培训管理办法》（国家安全监管总局令第</w:t>
            </w:r>
            <w:r>
              <w:rPr>
                <w:rFonts w:ascii="仿宋_GB2312" w:hAnsi="仿宋" w:eastAsia="仿宋_GB2312" w:cs="仿宋_GB2312"/>
                <w:color w:val="000000"/>
                <w:spacing w:val="-20"/>
                <w:sz w:val="24"/>
                <w:szCs w:val="24"/>
              </w:rPr>
              <w:t>44</w:t>
            </w:r>
            <w:r>
              <w:rPr>
                <w:rFonts w:hint="eastAsia" w:ascii="仿宋_GB2312" w:hAnsi="仿宋" w:eastAsia="仿宋_GB2312" w:cs="仿宋_GB2312"/>
                <w:color w:val="000000"/>
                <w:spacing w:val="-20"/>
                <w:sz w:val="24"/>
                <w:szCs w:val="24"/>
              </w:rPr>
              <w:t>号）</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0"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s="仿宋_GB2312"/>
                <w:color w:val="000000"/>
                <w:spacing w:val="-20"/>
                <w:sz w:val="24"/>
                <w:szCs w:val="24"/>
                <w:lang w:val="en-US" w:eastAsia="zh-CN"/>
              </w:rPr>
            </w:pPr>
            <w:r>
              <w:rPr>
                <w:rFonts w:hint="eastAsia" w:ascii="仿宋_GB2312" w:hAnsi="仿宋" w:eastAsia="仿宋_GB2312" w:cs="仿宋_GB2312"/>
                <w:color w:val="000000"/>
                <w:spacing w:val="-20"/>
                <w:sz w:val="24"/>
                <w:szCs w:val="24"/>
                <w:lang w:val="en-US" w:eastAsia="zh-CN"/>
              </w:rPr>
              <w:t>39</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生产经营单位综合检查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、事故隐患排查治理情况；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、生产经营场所与员工宿舍安全距离、安全出口情况；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、危险作业安全管理情况；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、劳动防护用品管理情况；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、生产经营项目、场所、设备发包、出租管理情况；</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、应急预案编制、演练和应急组织人员设置及应急救援器材、设备及物质配备情况。</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各类生产经营单位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《安全生产法》第十八条、第三十八条、第三十九条、第四十条、第四十二条、第四十六条、第七十八条、第七十九条、《生产安全事故应急预案管理办法》（国家安全监管总局令第</w:t>
            </w:r>
            <w:r>
              <w:rPr>
                <w:rFonts w:ascii="仿宋_GB2312" w:hAnsi="仿宋" w:eastAsia="仿宋_GB2312" w:cs="仿宋_GB2312"/>
                <w:color w:val="000000"/>
                <w:spacing w:val="-20"/>
                <w:sz w:val="24"/>
                <w:szCs w:val="24"/>
              </w:rPr>
              <w:t>88</w:t>
            </w:r>
            <w:r>
              <w:rPr>
                <w:rFonts w:hint="eastAsia" w:ascii="仿宋_GB2312" w:hAnsi="仿宋" w:eastAsia="仿宋_GB2312" w:cs="仿宋_GB2312"/>
                <w:color w:val="000000"/>
                <w:spacing w:val="-20"/>
                <w:sz w:val="24"/>
                <w:szCs w:val="24"/>
              </w:rPr>
              <w:t>号）《安全生产事故隐患排查治理暂行规定》（国家安全监管总局令第</w:t>
            </w:r>
            <w:r>
              <w:rPr>
                <w:rFonts w:ascii="仿宋_GB2312" w:hAnsi="仿宋" w:eastAsia="仿宋_GB2312" w:cs="仿宋_GB2312"/>
                <w:color w:val="000000"/>
                <w:spacing w:val="-20"/>
                <w:sz w:val="24"/>
                <w:szCs w:val="24"/>
              </w:rPr>
              <w:t>16</w:t>
            </w:r>
            <w:r>
              <w:rPr>
                <w:rFonts w:hint="eastAsia" w:ascii="仿宋_GB2312" w:hAnsi="仿宋" w:eastAsia="仿宋_GB2312" w:cs="仿宋_GB2312"/>
                <w:color w:val="000000"/>
                <w:spacing w:val="-20"/>
                <w:sz w:val="24"/>
                <w:szCs w:val="24"/>
              </w:rPr>
              <w:t>号）</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5"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、吸取事故教训，督促并落实事故防范整改措施情况；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、安全评价机构资质条件保持及过程控制、安全生产检测检验机构资质条件保持及质量管理体系执行情况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《生产安全事故报告和调查处理条例》（国务院令第</w:t>
            </w:r>
            <w:r>
              <w:rPr>
                <w:rFonts w:ascii="仿宋_GB2312" w:hAnsi="仿宋" w:eastAsia="仿宋_GB2312" w:cs="仿宋_GB2312"/>
                <w:color w:val="000000"/>
                <w:spacing w:val="-20"/>
                <w:sz w:val="24"/>
                <w:szCs w:val="24"/>
              </w:rPr>
              <w:t>493</w:t>
            </w:r>
            <w:r>
              <w:rPr>
                <w:rFonts w:hint="eastAsia" w:ascii="仿宋_GB2312" w:hAnsi="仿宋" w:eastAsia="仿宋_GB2312" w:cs="仿宋_GB2312"/>
                <w:color w:val="000000"/>
                <w:spacing w:val="-20"/>
                <w:sz w:val="24"/>
                <w:szCs w:val="24"/>
              </w:rPr>
              <w:t>号）第二十六条、第三十三条、第三十五条、第三十六条、《安全生产法》第六十九条、《安全评价机构管理规定》（国家安全监管总局令第</w:t>
            </w:r>
            <w:r>
              <w:rPr>
                <w:rFonts w:ascii="仿宋_GB2312" w:hAnsi="仿宋" w:eastAsia="仿宋_GB2312" w:cs="仿宋_GB2312"/>
                <w:color w:val="000000"/>
                <w:spacing w:val="-20"/>
                <w:sz w:val="24"/>
                <w:szCs w:val="24"/>
              </w:rPr>
              <w:t>22</w:t>
            </w:r>
            <w:r>
              <w:rPr>
                <w:rFonts w:hint="eastAsia" w:ascii="仿宋_GB2312" w:hAnsi="仿宋" w:eastAsia="仿宋_GB2312" w:cs="仿宋_GB2312"/>
                <w:color w:val="000000"/>
                <w:spacing w:val="-20"/>
                <w:sz w:val="24"/>
                <w:szCs w:val="24"/>
              </w:rPr>
              <w:t>号）、《安全生产检测检验机构管理规定》（国家安全监管总局令第</w:t>
            </w:r>
            <w:r>
              <w:rPr>
                <w:rFonts w:ascii="仿宋_GB2312" w:hAnsi="仿宋" w:eastAsia="仿宋_GB2312" w:cs="仿宋_GB2312"/>
                <w:color w:val="000000"/>
                <w:spacing w:val="-20"/>
                <w:sz w:val="24"/>
                <w:szCs w:val="24"/>
              </w:rPr>
              <w:t>12</w:t>
            </w:r>
            <w:r>
              <w:rPr>
                <w:rFonts w:hint="eastAsia" w:ascii="仿宋_GB2312" w:hAnsi="仿宋" w:eastAsia="仿宋_GB2312" w:cs="仿宋_GB2312"/>
                <w:color w:val="000000"/>
                <w:spacing w:val="-20"/>
                <w:sz w:val="24"/>
                <w:szCs w:val="24"/>
              </w:rPr>
              <w:t>号）　</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、建设项目安全评价及建设项目安全设施“三同时”情况；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、安全警示标志情况；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、安全设备情况；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、重大危险源安全管理情况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tcBorders>
              <w:bottom w:val="single" w:color="auto" w:sz="4" w:space="0"/>
            </w:tcBorders>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《安全生产法》第二十八条、第二十九条、第三十条、第三十一条、第三十二条、第三十三条、第三十七条《建设项目安全设施“三同时”监督管理办法》（国家安全监管总局令第</w:t>
            </w:r>
            <w:r>
              <w:rPr>
                <w:rFonts w:ascii="仿宋_GB2312" w:hAnsi="仿宋" w:eastAsia="仿宋_GB2312" w:cs="仿宋_GB2312"/>
                <w:color w:val="000000"/>
                <w:spacing w:val="-20"/>
                <w:sz w:val="24"/>
                <w:szCs w:val="24"/>
              </w:rPr>
              <w:t>36</w:t>
            </w:r>
            <w:r>
              <w:rPr>
                <w:rFonts w:hint="eastAsia" w:ascii="仿宋_GB2312" w:hAnsi="仿宋" w:eastAsia="仿宋_GB2312" w:cs="仿宋_GB2312"/>
                <w:color w:val="000000"/>
                <w:spacing w:val="-20"/>
                <w:sz w:val="24"/>
                <w:szCs w:val="24"/>
              </w:rPr>
              <w:t>号）</w:t>
            </w:r>
          </w:p>
        </w:tc>
        <w:tc>
          <w:tcPr>
            <w:tcW w:w="1224" w:type="dxa"/>
            <w:vMerge w:val="continue"/>
            <w:tcBorders>
              <w:bottom w:val="single" w:color="auto" w:sz="4" w:space="0"/>
            </w:tcBorders>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trPr>
        <w:tc>
          <w:tcPr>
            <w:tcW w:w="702" w:type="dxa"/>
            <w:vAlign w:val="center"/>
          </w:tcPr>
          <w:p>
            <w:pPr>
              <w:spacing w:line="360" w:lineRule="atLeast"/>
              <w:jc w:val="center"/>
              <w:rPr>
                <w:rFonts w:hint="default" w:ascii="Calibri" w:hAnsi="Calibri" w:eastAsia="宋体" w:cs="Calibri"/>
                <w:color w:val="000000"/>
                <w:sz w:val="24"/>
                <w:szCs w:val="24"/>
                <w:lang w:val="en-US" w:eastAsia="zh-CN"/>
              </w:rPr>
            </w:pPr>
            <w:r>
              <w:rPr>
                <w:rFonts w:hint="eastAsia" w:ascii="Calibri" w:hAnsi="Calibri" w:cs="Calibri"/>
                <w:color w:val="000000"/>
                <w:sz w:val="24"/>
                <w:szCs w:val="24"/>
                <w:lang w:val="en-US" w:eastAsia="zh-CN"/>
              </w:rPr>
              <w:t>40</w:t>
            </w:r>
          </w:p>
        </w:tc>
        <w:tc>
          <w:tcPr>
            <w:tcW w:w="1228" w:type="dxa"/>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小额贷款公司现场检查</w:t>
            </w:r>
          </w:p>
        </w:tc>
        <w:tc>
          <w:tcPr>
            <w:tcW w:w="3568" w:type="dxa"/>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对小额贷款公司运营状况、财务状况、风险控制、制度建设、从业人员资格以及其他要求符合监管需要的内容进行检查</w:t>
            </w:r>
          </w:p>
        </w:tc>
        <w:tc>
          <w:tcPr>
            <w:tcW w:w="1283" w:type="dxa"/>
            <w:vAlign w:val="center"/>
          </w:tcPr>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小额贷款公司</w:t>
            </w:r>
          </w:p>
        </w:tc>
        <w:tc>
          <w:tcPr>
            <w:tcW w:w="1283" w:type="dxa"/>
            <w:vMerge w:val="restart"/>
            <w:vAlign w:val="center"/>
          </w:tcPr>
          <w:p>
            <w:pPr>
              <w:spacing w:line="360" w:lineRule="atLeast"/>
              <w:jc w:val="center"/>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重点</w:t>
            </w:r>
          </w:p>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检查事项</w:t>
            </w:r>
          </w:p>
        </w:tc>
        <w:tc>
          <w:tcPr>
            <w:tcW w:w="1267" w:type="dxa"/>
            <w:vMerge w:val="restart"/>
            <w:vAlign w:val="center"/>
          </w:tcPr>
          <w:p>
            <w:pPr>
              <w:spacing w:line="360" w:lineRule="atLeast"/>
              <w:rPr>
                <w:rFonts w:ascii="Calibri" w:hAnsi="Calibri" w:cs="Calibri"/>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《陕西省金融工作办公室关于印发陕西省小额贷款公司监管实施细则（试行）的通知》（陕金融发〔</w:t>
            </w:r>
            <w:r>
              <w:rPr>
                <w:rFonts w:ascii="仿宋_GB2312" w:hAnsi="Calibri" w:eastAsia="仿宋_GB2312" w:cs="仿宋_GB2312"/>
                <w:color w:val="000000"/>
                <w:spacing w:val="-20"/>
                <w:sz w:val="24"/>
                <w:szCs w:val="24"/>
              </w:rPr>
              <w:t>2013</w:t>
            </w:r>
            <w:r>
              <w:rPr>
                <w:rFonts w:hint="eastAsia" w:ascii="仿宋_GB2312" w:hAnsi="Calibri" w:eastAsia="仿宋_GB2312" w:cs="仿宋_GB2312"/>
                <w:color w:val="000000"/>
                <w:spacing w:val="-20"/>
                <w:sz w:val="24"/>
                <w:szCs w:val="24"/>
              </w:rPr>
              <w:t>〕</w:t>
            </w:r>
            <w:r>
              <w:rPr>
                <w:rFonts w:ascii="仿宋_GB2312" w:hAnsi="Calibri" w:eastAsia="仿宋_GB2312" w:cs="仿宋_GB2312"/>
                <w:color w:val="000000"/>
                <w:spacing w:val="-20"/>
                <w:sz w:val="24"/>
                <w:szCs w:val="24"/>
              </w:rPr>
              <w:t>11</w:t>
            </w:r>
            <w:r>
              <w:rPr>
                <w:rFonts w:hint="eastAsia" w:ascii="仿宋_GB2312" w:hAnsi="Calibri" w:eastAsia="仿宋_GB2312" w:cs="仿宋_GB2312"/>
                <w:color w:val="000000"/>
                <w:spacing w:val="-20"/>
                <w:sz w:val="24"/>
                <w:szCs w:val="24"/>
              </w:rPr>
              <w:t>号）第</w:t>
            </w:r>
            <w:r>
              <w:rPr>
                <w:rFonts w:ascii="仿宋_GB2312" w:hAnsi="Calibri" w:eastAsia="仿宋_GB2312" w:cs="仿宋_GB2312"/>
                <w:color w:val="000000"/>
                <w:spacing w:val="-20"/>
                <w:sz w:val="24"/>
                <w:szCs w:val="24"/>
              </w:rPr>
              <w:t>10</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11</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12</w:t>
            </w:r>
            <w:r>
              <w:rPr>
                <w:rFonts w:hint="eastAsia" w:ascii="仿宋_GB2312" w:hAnsi="Calibri" w:eastAsia="仿宋_GB2312" w:cs="仿宋_GB2312"/>
                <w:color w:val="000000"/>
                <w:spacing w:val="-20"/>
                <w:sz w:val="24"/>
                <w:szCs w:val="24"/>
              </w:rPr>
              <w:t>条</w:t>
            </w:r>
          </w:p>
        </w:tc>
        <w:tc>
          <w:tcPr>
            <w:tcW w:w="1224" w:type="dxa"/>
            <w:vMerge w:val="restart"/>
            <w:vAlign w:val="center"/>
          </w:tcPr>
          <w:p>
            <w:pPr>
              <w:kinsoku w:val="0"/>
              <w:overflowPunct w:val="0"/>
              <w:autoSpaceDE w:val="0"/>
              <w:autoSpaceDN w:val="0"/>
              <w:adjustRightInd w:val="0"/>
              <w:snapToGrid w:val="0"/>
              <w:spacing w:line="360" w:lineRule="exact"/>
              <w:jc w:val="center"/>
              <w:rPr>
                <w:rFonts w:ascii="Calibri" w:hAnsi="Calibri" w:cs="Calibri"/>
                <w:color w:val="000000"/>
                <w:sz w:val="24"/>
                <w:szCs w:val="24"/>
              </w:rPr>
            </w:pPr>
            <w:r>
              <w:rPr>
                <w:rFonts w:hint="eastAsia" w:ascii="仿宋_GB2312" w:hAnsi="仿宋" w:eastAsia="仿宋_GB2312" w:cs="仿宋_GB2312"/>
                <w:color w:val="000000"/>
                <w:spacing w:val="-20"/>
                <w:sz w:val="24"/>
                <w:szCs w:val="24"/>
              </w:rPr>
              <w:t>金融服务办公室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702" w:type="dxa"/>
            <w:vMerge w:val="restart"/>
            <w:vAlign w:val="center"/>
          </w:tcPr>
          <w:p>
            <w:pPr>
              <w:spacing w:line="360" w:lineRule="atLeast"/>
              <w:rPr>
                <w:rFonts w:hint="default" w:ascii="仿宋_GB2312" w:hAnsi="Calibri" w:eastAsia="仿宋_GB2312" w:cs="仿宋_GB2312"/>
                <w:color w:val="000000"/>
                <w:spacing w:val="-20"/>
                <w:sz w:val="24"/>
                <w:szCs w:val="24"/>
                <w:lang w:val="en-US" w:eastAsia="zh-CN"/>
              </w:rPr>
            </w:pPr>
            <w:r>
              <w:rPr>
                <w:rFonts w:hint="eastAsia" w:ascii="仿宋_GB2312" w:hAnsi="Calibri" w:eastAsia="仿宋_GB2312" w:cs="仿宋_GB2312"/>
                <w:color w:val="000000"/>
                <w:spacing w:val="-20"/>
                <w:sz w:val="24"/>
                <w:szCs w:val="24"/>
                <w:lang w:val="en-US" w:eastAsia="zh-CN"/>
              </w:rPr>
              <w:t>41</w:t>
            </w:r>
          </w:p>
        </w:tc>
        <w:tc>
          <w:tcPr>
            <w:tcW w:w="1228" w:type="dxa"/>
            <w:vMerge w:val="restart"/>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融资性担保公司现场检查</w:t>
            </w:r>
          </w:p>
        </w:tc>
        <w:tc>
          <w:tcPr>
            <w:tcW w:w="3568" w:type="dxa"/>
            <w:tcBorders>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融资担保公司业务经营许可证的检查</w:t>
            </w:r>
          </w:p>
        </w:tc>
        <w:tc>
          <w:tcPr>
            <w:tcW w:w="1283" w:type="dxa"/>
            <w:vMerge w:val="restart"/>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《融资担保公司监督管理条例》第六条、第七条、第八条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融资担保公司各项变更事项审批、备案检查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《融资担保公司监督管理条例》第九条；</w:t>
            </w:r>
          </w:p>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《融资担保业务经营许可证管理办法》第八条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融资担保公司业务风险控制检查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《融资担保公司监督管理条例》第十五条、第十六条、第十七条、第十八条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融资担保公司资金运用检查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融资担保公司监督管理条例》第二十二条；《融资担保公司资产比例管理办法》第八条、第九条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融资担保公司禁止性业务检查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《融资担保公司监督管理条例》第二十三条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融资担保公司业务信息报送检查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《融资担保公司监督管理条例》第三十一条、第三十四条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tcBorders>
              <w:bottom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702" w:type="dxa"/>
            <w:vMerge w:val="continue"/>
            <w:vAlign w:val="center"/>
          </w:tcPr>
          <w:p>
            <w:pPr>
              <w:jc w:val="center"/>
              <w:rPr>
                <w:rFonts w:ascii="宋体" w:cs="宋体"/>
                <w:b/>
                <w:bCs/>
                <w:color w:val="000000"/>
                <w:sz w:val="24"/>
                <w:szCs w:val="24"/>
              </w:rPr>
            </w:pPr>
          </w:p>
        </w:tc>
        <w:tc>
          <w:tcPr>
            <w:tcW w:w="1228" w:type="dxa"/>
            <w:tcBorders>
              <w:top w:val="single" w:color="auto" w:sz="4" w:space="0"/>
              <w:righ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tcBorders>
              <w:top w:val="single" w:color="auto" w:sz="4" w:space="0"/>
              <w:lef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cs="宋体"/>
                <w:b/>
                <w:bCs/>
                <w:color w:val="000000"/>
                <w:sz w:val="24"/>
                <w:szCs w:val="24"/>
              </w:rPr>
            </w:pPr>
          </w:p>
        </w:tc>
        <w:tc>
          <w:tcPr>
            <w:tcW w:w="1283" w:type="dxa"/>
            <w:vMerge w:val="continue"/>
            <w:vAlign w:val="center"/>
          </w:tcPr>
          <w:p>
            <w:pPr>
              <w:jc w:val="center"/>
              <w:rPr>
                <w:rFonts w:ascii="宋体" w:cs="宋体"/>
                <w:b/>
                <w:bCs/>
                <w:color w:val="000000"/>
                <w:sz w:val="24"/>
                <w:szCs w:val="24"/>
              </w:rPr>
            </w:pPr>
          </w:p>
        </w:tc>
        <w:tc>
          <w:tcPr>
            <w:tcW w:w="1267" w:type="dxa"/>
            <w:vMerge w:val="continue"/>
            <w:vAlign w:val="center"/>
          </w:tcPr>
          <w:p>
            <w:pPr>
              <w:jc w:val="center"/>
              <w:rPr>
                <w:rFonts w:ascii="宋体" w:cs="宋体"/>
                <w:b/>
                <w:bCs/>
                <w:color w:val="000000"/>
                <w:sz w:val="24"/>
                <w:szCs w:val="24"/>
              </w:rPr>
            </w:pPr>
          </w:p>
        </w:tc>
        <w:tc>
          <w:tcPr>
            <w:tcW w:w="4407" w:type="dxa"/>
            <w:vMerge w:val="continue"/>
            <w:vAlign w:val="center"/>
          </w:tcPr>
          <w:p>
            <w:pPr>
              <w:jc w:val="center"/>
              <w:rPr>
                <w:rFonts w:ascii="宋体" w:cs="宋体"/>
                <w:b/>
                <w:bCs/>
                <w:color w:val="000000"/>
                <w:sz w:val="24"/>
                <w:szCs w:val="24"/>
              </w:rPr>
            </w:pPr>
          </w:p>
        </w:tc>
        <w:tc>
          <w:tcPr>
            <w:tcW w:w="1224" w:type="dxa"/>
            <w:vMerge w:val="continue"/>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trPr>
        <w:tc>
          <w:tcPr>
            <w:tcW w:w="702" w:type="dxa"/>
            <w:vAlign w:val="center"/>
          </w:tcPr>
          <w:p>
            <w:pPr>
              <w:spacing w:line="360" w:lineRule="atLeast"/>
              <w:jc w:val="center"/>
              <w:rPr>
                <w:rFonts w:hint="default" w:ascii="Calibri" w:hAnsi="Calibri" w:eastAsia="宋体" w:cs="Calibri"/>
                <w:color w:val="000000"/>
                <w:sz w:val="24"/>
                <w:szCs w:val="24"/>
                <w:lang w:val="en-US" w:eastAsia="zh-CN"/>
              </w:rPr>
            </w:pPr>
            <w:r>
              <w:rPr>
                <w:rFonts w:hint="eastAsia" w:ascii="Calibri" w:hAnsi="Calibri" w:cs="Calibri"/>
                <w:color w:val="000000"/>
                <w:sz w:val="24"/>
                <w:szCs w:val="24"/>
                <w:lang w:val="en-US" w:eastAsia="zh-CN"/>
              </w:rPr>
              <w:t>42</w:t>
            </w:r>
          </w:p>
        </w:tc>
        <w:tc>
          <w:tcPr>
            <w:tcW w:w="1228" w:type="dxa"/>
            <w:tcBorders>
              <w:right w:val="single" w:color="auto" w:sz="4" w:space="0"/>
            </w:tcBorders>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交易场所现场检查</w:t>
            </w:r>
          </w:p>
        </w:tc>
        <w:tc>
          <w:tcPr>
            <w:tcW w:w="3568" w:type="dxa"/>
            <w:tcBorders>
              <w:left w:val="single" w:color="auto" w:sz="4" w:space="0"/>
            </w:tcBorders>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对交易场所运营状况、财务状况、风险控制、制度建设、从业人员资格以及其他要求符合监管需要的内容进行检查</w:t>
            </w:r>
          </w:p>
        </w:tc>
        <w:tc>
          <w:tcPr>
            <w:tcW w:w="1283" w:type="dxa"/>
            <w:vAlign w:val="center"/>
          </w:tcPr>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z w:val="24"/>
                <w:szCs w:val="24"/>
              </w:rPr>
              <w:t>交易场所</w:t>
            </w:r>
          </w:p>
        </w:tc>
        <w:tc>
          <w:tcPr>
            <w:tcW w:w="1283" w:type="dxa"/>
            <w:vAlign w:val="center"/>
          </w:tcPr>
          <w:p>
            <w:pPr>
              <w:spacing w:line="360" w:lineRule="atLeast"/>
              <w:jc w:val="center"/>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重点</w:t>
            </w:r>
          </w:p>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检查事项</w:t>
            </w:r>
          </w:p>
        </w:tc>
        <w:tc>
          <w:tcPr>
            <w:tcW w:w="1267" w:type="dxa"/>
            <w:vAlign w:val="center"/>
          </w:tcPr>
          <w:p>
            <w:pPr>
              <w:spacing w:line="360" w:lineRule="atLeast"/>
              <w:rPr>
                <w:rFonts w:ascii="Calibri" w:hAnsi="Calibri" w:cs="Calibri"/>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eastAsia="仿宋_GB2312" w:cs="仿宋_GB2312"/>
                <w:color w:val="000000"/>
                <w:spacing w:val="-20"/>
                <w:sz w:val="24"/>
                <w:szCs w:val="24"/>
                <w:lang w:eastAsia="zh-CN"/>
              </w:rPr>
              <w:t>、</w:t>
            </w:r>
            <w:r>
              <w:rPr>
                <w:rFonts w:hint="eastAsia" w:ascii="仿宋_GB2312" w:hAnsi="黑体" w:eastAsia="仿宋_GB2312" w:cs="仿宋_GB2312"/>
                <w:color w:val="000000"/>
                <w:spacing w:val="-20"/>
                <w:kern w:val="0"/>
                <w:sz w:val="24"/>
                <w:szCs w:val="24"/>
              </w:rPr>
              <w:t>网络监测</w:t>
            </w:r>
          </w:p>
        </w:tc>
        <w:tc>
          <w:tcPr>
            <w:tcW w:w="4407" w:type="dxa"/>
            <w:vAlign w:val="center"/>
          </w:tcPr>
          <w:p>
            <w:pPr>
              <w:spacing w:line="30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《陕西省人民政府办公厅关于印发</w:t>
            </w:r>
            <w:r>
              <w:rPr>
                <w:rFonts w:ascii="仿宋_GB2312" w:hAnsi="Calibri" w:eastAsia="仿宋_GB2312" w:cs="仿宋_GB2312"/>
                <w:color w:val="000000"/>
                <w:spacing w:val="-20"/>
                <w:sz w:val="24"/>
                <w:szCs w:val="24"/>
              </w:rPr>
              <w:t>&lt;</w:t>
            </w:r>
            <w:r>
              <w:rPr>
                <w:rFonts w:hint="eastAsia" w:ascii="仿宋_GB2312" w:hAnsi="Calibri" w:eastAsia="仿宋_GB2312" w:cs="仿宋_GB2312"/>
                <w:color w:val="000000"/>
                <w:spacing w:val="-20"/>
                <w:sz w:val="24"/>
                <w:szCs w:val="24"/>
              </w:rPr>
              <w:t>陕西省交易场所监督管理暂行办法</w:t>
            </w:r>
            <w:r>
              <w:rPr>
                <w:rFonts w:ascii="仿宋_GB2312" w:hAnsi="Calibri" w:eastAsia="仿宋_GB2312" w:cs="仿宋_GB2312"/>
                <w:color w:val="000000"/>
                <w:spacing w:val="-20"/>
                <w:sz w:val="24"/>
                <w:szCs w:val="24"/>
              </w:rPr>
              <w:t>&gt;</w:t>
            </w:r>
            <w:r>
              <w:rPr>
                <w:rFonts w:hint="eastAsia" w:ascii="仿宋_GB2312" w:hAnsi="Calibri" w:eastAsia="仿宋_GB2312" w:cs="仿宋_GB2312"/>
                <w:color w:val="000000"/>
                <w:spacing w:val="-20"/>
                <w:sz w:val="24"/>
                <w:szCs w:val="24"/>
              </w:rPr>
              <w:t>的通知》（陕政办发〔</w:t>
            </w:r>
            <w:r>
              <w:rPr>
                <w:rFonts w:ascii="仿宋_GB2312" w:hAnsi="Calibri" w:eastAsia="仿宋_GB2312" w:cs="仿宋_GB2312"/>
                <w:color w:val="000000"/>
                <w:spacing w:val="-20"/>
                <w:sz w:val="24"/>
                <w:szCs w:val="24"/>
              </w:rPr>
              <w:t>2017</w:t>
            </w:r>
            <w:r>
              <w:rPr>
                <w:rFonts w:hint="eastAsia" w:ascii="仿宋_GB2312" w:hAnsi="Calibri" w:eastAsia="仿宋_GB2312" w:cs="仿宋_GB2312"/>
                <w:color w:val="000000"/>
                <w:spacing w:val="-20"/>
                <w:sz w:val="24"/>
                <w:szCs w:val="24"/>
              </w:rPr>
              <w:t>〕</w:t>
            </w:r>
            <w:r>
              <w:rPr>
                <w:rFonts w:ascii="仿宋_GB2312" w:hAnsi="Calibri" w:eastAsia="仿宋_GB2312" w:cs="仿宋_GB2312"/>
                <w:color w:val="000000"/>
                <w:spacing w:val="-20"/>
                <w:sz w:val="24"/>
                <w:szCs w:val="24"/>
              </w:rPr>
              <w:t>105</w:t>
            </w:r>
            <w:r>
              <w:rPr>
                <w:rFonts w:hint="eastAsia" w:ascii="仿宋_GB2312" w:hAnsi="Calibri" w:eastAsia="仿宋_GB2312" w:cs="仿宋_GB2312"/>
                <w:color w:val="000000"/>
                <w:spacing w:val="-20"/>
                <w:sz w:val="24"/>
                <w:szCs w:val="24"/>
              </w:rPr>
              <w:t>号）第</w:t>
            </w:r>
            <w:r>
              <w:rPr>
                <w:rFonts w:ascii="仿宋_GB2312" w:hAnsi="Calibri" w:eastAsia="仿宋_GB2312" w:cs="仿宋_GB2312"/>
                <w:color w:val="000000"/>
                <w:spacing w:val="-20"/>
                <w:sz w:val="24"/>
                <w:szCs w:val="24"/>
              </w:rPr>
              <w:t>33</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35</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36</w:t>
            </w:r>
            <w:r>
              <w:rPr>
                <w:rFonts w:hint="eastAsia" w:ascii="仿宋_GB2312" w:hAnsi="Calibri" w:eastAsia="仿宋_GB2312" w:cs="仿宋_GB2312"/>
                <w:color w:val="000000"/>
                <w:spacing w:val="-20"/>
                <w:sz w:val="24"/>
                <w:szCs w:val="24"/>
              </w:rPr>
              <w:t>条；《陕西省金融工作办公室关于规范全省交易场所监管工作的通知》（陕金融发〔</w:t>
            </w:r>
            <w:r>
              <w:rPr>
                <w:rFonts w:ascii="仿宋_GB2312" w:hAnsi="Calibri" w:eastAsia="仿宋_GB2312" w:cs="仿宋_GB2312"/>
                <w:color w:val="000000"/>
                <w:spacing w:val="-20"/>
                <w:sz w:val="24"/>
                <w:szCs w:val="24"/>
              </w:rPr>
              <w:t>2013</w:t>
            </w:r>
            <w:r>
              <w:rPr>
                <w:rFonts w:hint="eastAsia" w:ascii="仿宋_GB2312" w:hAnsi="Calibri" w:eastAsia="仿宋_GB2312" w:cs="仿宋_GB2312"/>
                <w:color w:val="000000"/>
                <w:spacing w:val="-20"/>
                <w:sz w:val="24"/>
                <w:szCs w:val="24"/>
              </w:rPr>
              <w:t>〕</w:t>
            </w:r>
            <w:r>
              <w:rPr>
                <w:rFonts w:ascii="仿宋_GB2312" w:hAnsi="Calibri" w:eastAsia="仿宋_GB2312" w:cs="仿宋_GB2312"/>
                <w:color w:val="000000"/>
                <w:spacing w:val="-20"/>
                <w:sz w:val="24"/>
                <w:szCs w:val="24"/>
              </w:rPr>
              <w:t>10</w:t>
            </w:r>
            <w:r>
              <w:rPr>
                <w:rFonts w:hint="eastAsia" w:ascii="仿宋_GB2312" w:hAnsi="Calibri" w:eastAsia="仿宋_GB2312" w:cs="仿宋_GB2312"/>
                <w:color w:val="000000"/>
                <w:spacing w:val="-20"/>
                <w:sz w:val="24"/>
                <w:szCs w:val="24"/>
              </w:rPr>
              <w:t>号）第三条</w:t>
            </w:r>
          </w:p>
        </w:tc>
        <w:tc>
          <w:tcPr>
            <w:tcW w:w="1224" w:type="dxa"/>
            <w:vAlign w:val="center"/>
          </w:tcPr>
          <w:p>
            <w:pPr>
              <w:spacing w:line="360" w:lineRule="atLeast"/>
              <w:jc w:val="center"/>
              <w:rPr>
                <w:rFonts w:ascii="Calibri" w:hAnsi="Calibri" w:cs="Calibri"/>
                <w:color w:val="000000"/>
                <w:sz w:val="24"/>
                <w:szCs w:val="24"/>
              </w:rPr>
            </w:pPr>
            <w:r>
              <w:rPr>
                <w:rFonts w:hint="eastAsia" w:ascii="仿宋_GB2312" w:hAnsi="仿宋" w:eastAsia="仿宋_GB2312" w:cs="仿宋_GB2312"/>
                <w:color w:val="000000"/>
                <w:spacing w:val="-20"/>
                <w:sz w:val="24"/>
                <w:szCs w:val="24"/>
              </w:rPr>
              <w:t>金融服务办公室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43</w:t>
            </w:r>
          </w:p>
        </w:tc>
        <w:tc>
          <w:tcPr>
            <w:tcW w:w="1228" w:type="dxa"/>
            <w:vAlign w:val="center"/>
          </w:tcPr>
          <w:p>
            <w:pPr>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典当行业</w:t>
            </w:r>
          </w:p>
        </w:tc>
        <w:tc>
          <w:tcPr>
            <w:tcW w:w="3568" w:type="dxa"/>
            <w:vAlign w:val="center"/>
          </w:tcPr>
          <w:p>
            <w:pPr>
              <w:spacing w:line="360" w:lineRule="atLeast"/>
              <w:rPr>
                <w:rFonts w:ascii="仿宋_GB2312" w:eastAsia="仿宋_GB2312"/>
                <w:color w:val="000000"/>
                <w:spacing w:val="-20"/>
                <w:sz w:val="24"/>
                <w:szCs w:val="24"/>
              </w:rPr>
            </w:pPr>
            <w:r>
              <w:rPr>
                <w:rFonts w:hint="eastAsia" w:ascii="仿宋_GB2312" w:hAnsi="Calibri" w:eastAsia="仿宋_GB2312" w:cs="仿宋_GB2312"/>
                <w:color w:val="000000"/>
                <w:spacing w:val="-20"/>
                <w:sz w:val="24"/>
                <w:szCs w:val="24"/>
              </w:rPr>
              <w:t>对运营状况、财务状况、风险控制、制度建设、从业人员资格以及其他要求符合监管需要的内容进行检查</w:t>
            </w:r>
          </w:p>
        </w:tc>
        <w:tc>
          <w:tcPr>
            <w:tcW w:w="1283" w:type="dxa"/>
            <w:vAlign w:val="center"/>
          </w:tcPr>
          <w:p>
            <w:pPr>
              <w:spacing w:line="360" w:lineRule="atLeas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典当行经营单位</w:t>
            </w:r>
          </w:p>
        </w:tc>
        <w:tc>
          <w:tcPr>
            <w:tcW w:w="1283" w:type="dxa"/>
            <w:vAlign w:val="center"/>
          </w:tcPr>
          <w:p>
            <w:pPr>
              <w:spacing w:line="360" w:lineRule="atLeast"/>
              <w:jc w:val="center"/>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重点</w:t>
            </w:r>
          </w:p>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检查事项</w:t>
            </w:r>
          </w:p>
        </w:tc>
        <w:tc>
          <w:tcPr>
            <w:tcW w:w="1267" w:type="dxa"/>
            <w:vAlign w:val="center"/>
          </w:tcPr>
          <w:p>
            <w:pPr>
              <w:spacing w:line="360" w:lineRule="atLeast"/>
              <w:rPr>
                <w:rFonts w:ascii="Calibri" w:hAnsi="Calibri" w:cs="Calibri"/>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spacing w:line="280" w:lineRule="exact"/>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《典当管理办法》《典当行业监管规定》</w:t>
            </w:r>
          </w:p>
        </w:tc>
        <w:tc>
          <w:tcPr>
            <w:tcW w:w="1224" w:type="dxa"/>
            <w:vAlign w:val="center"/>
          </w:tcPr>
          <w:p>
            <w:pPr>
              <w:spacing w:line="300" w:lineRule="exact"/>
              <w:jc w:val="center"/>
              <w:rPr>
                <w:rFonts w:ascii="仿宋_GB2312" w:eastAsia="仿宋_GB2312"/>
                <w:color w:val="000000"/>
                <w:spacing w:val="-20"/>
                <w:sz w:val="24"/>
                <w:szCs w:val="24"/>
              </w:rPr>
            </w:pPr>
            <w:r>
              <w:rPr>
                <w:rFonts w:hint="eastAsia" w:ascii="仿宋_GB2312" w:hAnsi="仿宋" w:eastAsia="仿宋_GB2312" w:cs="仿宋_GB2312"/>
                <w:color w:val="000000"/>
                <w:spacing w:val="-20"/>
                <w:sz w:val="24"/>
                <w:szCs w:val="24"/>
              </w:rPr>
              <w:t>金融服务办公室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8" w:hRule="atLeast"/>
        </w:trPr>
        <w:tc>
          <w:tcPr>
            <w:tcW w:w="702"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44</w:t>
            </w:r>
          </w:p>
        </w:tc>
        <w:tc>
          <w:tcPr>
            <w:tcW w:w="1228" w:type="dxa"/>
            <w:tcBorders>
              <w:bottom w:val="single" w:color="auto" w:sz="4" w:space="0"/>
            </w:tcBorders>
            <w:vAlign w:val="center"/>
          </w:tcPr>
          <w:p>
            <w:pPr>
              <w:spacing w:line="300" w:lineRule="exact"/>
              <w:rPr>
                <w:color w:val="000000"/>
                <w:sz w:val="24"/>
                <w:szCs w:val="24"/>
              </w:rPr>
            </w:pPr>
            <w:r>
              <w:rPr>
                <w:rFonts w:hint="eastAsia" w:ascii="仿宋_GB2312" w:eastAsia="仿宋_GB2312" w:cs="仿宋_GB2312"/>
                <w:color w:val="000000"/>
                <w:spacing w:val="-20"/>
                <w:sz w:val="24"/>
                <w:szCs w:val="24"/>
              </w:rPr>
              <w:t>区级重点税源企业随机抽查</w:t>
            </w:r>
          </w:p>
        </w:tc>
        <w:tc>
          <w:tcPr>
            <w:tcW w:w="3568" w:type="dxa"/>
            <w:tcBorders>
              <w:bottom w:val="single" w:color="auto" w:sz="4" w:space="0"/>
            </w:tcBorders>
            <w:vAlign w:val="center"/>
          </w:tcPr>
          <w:p>
            <w:pPr>
              <w:spacing w:line="360" w:lineRule="atLeast"/>
              <w:rPr>
                <w:color w:val="000000"/>
                <w:sz w:val="24"/>
                <w:szCs w:val="24"/>
              </w:rPr>
            </w:pPr>
            <w:r>
              <w:rPr>
                <w:rFonts w:hint="eastAsia" w:ascii="仿宋_GB2312" w:eastAsia="仿宋_GB2312" w:cs="仿宋_GB2312"/>
                <w:color w:val="000000"/>
                <w:spacing w:val="-20"/>
                <w:sz w:val="24"/>
                <w:szCs w:val="24"/>
              </w:rPr>
              <w:t>依法检查纳税人、扣缴义务人和其他涉税当事人履行纳税义务、扣缴税款义务情况及其他税法遵从情况</w:t>
            </w:r>
          </w:p>
        </w:tc>
        <w:tc>
          <w:tcPr>
            <w:tcW w:w="1283" w:type="dxa"/>
            <w:vAlign w:val="center"/>
          </w:tcPr>
          <w:p>
            <w:pPr>
              <w:spacing w:line="360" w:lineRule="atLeast"/>
              <w:rPr>
                <w:color w:val="000000"/>
                <w:sz w:val="24"/>
                <w:szCs w:val="24"/>
              </w:rPr>
            </w:pPr>
            <w:r>
              <w:rPr>
                <w:rFonts w:hint="eastAsia" w:ascii="仿宋_GB2312" w:eastAsia="仿宋_GB2312" w:cs="仿宋_GB2312"/>
                <w:color w:val="000000"/>
                <w:spacing w:val="-20"/>
                <w:sz w:val="24"/>
                <w:szCs w:val="24"/>
              </w:rPr>
              <w:t>纳税人、扣缴义务人和其他涉税当事人</w:t>
            </w:r>
          </w:p>
        </w:tc>
        <w:tc>
          <w:tcPr>
            <w:tcW w:w="1283" w:type="dxa"/>
            <w:vAlign w:val="center"/>
          </w:tcPr>
          <w:p>
            <w:pPr>
              <w:spacing w:line="360" w:lineRule="atLeast"/>
              <w:jc w:val="center"/>
              <w:rPr>
                <w:color w:val="000000"/>
                <w:sz w:val="24"/>
                <w:szCs w:val="24"/>
              </w:rPr>
            </w:pPr>
            <w:r>
              <w:rPr>
                <w:rFonts w:hint="eastAsia" w:ascii="仿宋_GB2312" w:eastAsia="仿宋_GB2312" w:cs="仿宋_GB2312"/>
                <w:color w:val="000000"/>
                <w:spacing w:val="-20"/>
                <w:sz w:val="24"/>
                <w:szCs w:val="24"/>
              </w:rPr>
              <w:t>一般</w:t>
            </w:r>
          </w:p>
          <w:p>
            <w:pPr>
              <w:spacing w:line="360" w:lineRule="atLeast"/>
              <w:jc w:val="center"/>
              <w:rPr>
                <w:color w:val="00000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spacing w:line="360" w:lineRule="atLeast"/>
              <w:rPr>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p>
        </w:tc>
        <w:tc>
          <w:tcPr>
            <w:tcW w:w="4407" w:type="dxa"/>
            <w:vAlign w:val="center"/>
          </w:tcPr>
          <w:p>
            <w:pPr>
              <w:spacing w:line="280" w:lineRule="exact"/>
              <w:rPr>
                <w:color w:val="000000"/>
                <w:sz w:val="24"/>
                <w:szCs w:val="24"/>
              </w:rPr>
            </w:pPr>
            <w:r>
              <w:rPr>
                <w:rFonts w:hint="eastAsia" w:ascii="仿宋_GB2312" w:eastAsia="仿宋_GB2312" w:cs="仿宋_GB2312"/>
                <w:color w:val="000000"/>
                <w:spacing w:val="-20"/>
                <w:sz w:val="24"/>
                <w:szCs w:val="24"/>
              </w:rPr>
              <w:t>《中华人民共和国税收征收管理法》第五十四条、第五十五条、第五十六条、第五十七条、第五十八条；《国家税务总局关于印发〈税务稽查工作规程〉的通知》（国税发〔</w:t>
            </w:r>
            <w:r>
              <w:rPr>
                <w:rFonts w:ascii="仿宋_GB2312" w:eastAsia="仿宋_GB2312" w:cs="仿宋_GB2312"/>
                <w:color w:val="000000"/>
                <w:spacing w:val="-20"/>
                <w:sz w:val="24"/>
                <w:szCs w:val="24"/>
              </w:rPr>
              <w:t>2009</w:t>
            </w:r>
            <w:r>
              <w:rPr>
                <w:rFonts w:hint="eastAsia" w:ascii="仿宋_GB2312" w:eastAsia="仿宋_GB2312" w:cs="仿宋_GB2312"/>
                <w:color w:val="000000"/>
                <w:spacing w:val="-20"/>
                <w:sz w:val="24"/>
                <w:szCs w:val="24"/>
              </w:rPr>
              <w:t>〕</w:t>
            </w:r>
            <w:r>
              <w:rPr>
                <w:rFonts w:ascii="仿宋_GB2312" w:eastAsia="仿宋_GB2312" w:cs="仿宋_GB2312"/>
                <w:color w:val="000000"/>
                <w:spacing w:val="-20"/>
                <w:sz w:val="24"/>
                <w:szCs w:val="24"/>
              </w:rPr>
              <w:t>157</w:t>
            </w:r>
            <w:r>
              <w:rPr>
                <w:rFonts w:hint="eastAsia" w:ascii="仿宋_GB2312" w:eastAsia="仿宋_GB2312" w:cs="仿宋_GB2312"/>
                <w:color w:val="000000"/>
                <w:spacing w:val="-20"/>
                <w:sz w:val="24"/>
                <w:szCs w:val="24"/>
              </w:rPr>
              <w:t>号）</w:t>
            </w:r>
          </w:p>
        </w:tc>
        <w:tc>
          <w:tcPr>
            <w:tcW w:w="1224" w:type="dxa"/>
            <w:vAlign w:val="center"/>
          </w:tcPr>
          <w:p>
            <w:pPr>
              <w:spacing w:line="300" w:lineRule="exact"/>
              <w:jc w:val="center"/>
              <w:rPr>
                <w:color w:val="000000"/>
                <w:sz w:val="24"/>
                <w:szCs w:val="24"/>
              </w:rPr>
            </w:pPr>
            <w:r>
              <w:rPr>
                <w:rFonts w:hint="eastAsia" w:ascii="仿宋_GB2312" w:eastAsia="仿宋_GB2312" w:cs="仿宋_GB2312"/>
                <w:color w:val="000000"/>
                <w:spacing w:val="-20"/>
                <w:sz w:val="24"/>
                <w:szCs w:val="24"/>
              </w:rPr>
              <w:t>高新税务局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702" w:type="dxa"/>
            <w:vMerge w:val="restart"/>
            <w:tcBorders>
              <w:top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tcBorders>
              <w:top w:val="single" w:color="auto" w:sz="4" w:space="0"/>
              <w:bottom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45</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登记事项检查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营业执照（登记证）规范使用情况的检查</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主体登记管理条例》；《促进个体工商户发展条例》；《外商投资合伙企业登记管理规定》第五十七条、第五十八条；《个人独资企业法》第三十五条；《个人独资企业登记管理办法》第四十条、第四十一条、第四十二条、第四十三条；《电子商务法》第十五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名称规范使用情况的检查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名称登记管理规定》第二十六条、二十七条；《市场主体登记管理条例》；《促进个体工商户发展条例》；《个体工商户条例》第二十三条第一款；《个人独资企业法》第三十四条；《合伙企业法》第九十四条；《外商投资合伙企业登记管理规定》第五十四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经营（驻在）期限的检查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《公司法》第二百一十一条第二款；《市场主体登记管理条例》；《促进个体工商户发展条例》；《合伙企业法》第九十五条第二款；《外商投资合伙企业登记管理规定》第五十三条</w:t>
            </w:r>
            <w:r>
              <w:rPr>
                <w:rFonts w:ascii="仿宋_GB2312" w:hAnsi="仿宋" w:eastAsia="仿宋_GB2312" w:cs="仿宋_GB2312"/>
                <w:color w:val="000000"/>
                <w:spacing w:val="-20"/>
                <w:kern w:val="0"/>
                <w:sz w:val="24"/>
                <w:szCs w:val="24"/>
              </w:rPr>
              <w:t xml:space="preserve"> </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46</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登记事项检查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经营（业务）范围中无需审批的经营（业务）项目检查</w:t>
            </w:r>
          </w:p>
        </w:tc>
        <w:tc>
          <w:tcPr>
            <w:tcW w:w="1283" w:type="dxa"/>
            <w:vMerge w:val="restart"/>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Merge w:val="restart"/>
            <w:vAlign w:val="center"/>
          </w:tcPr>
          <w:p>
            <w:pPr>
              <w:kinsoku w:val="0"/>
              <w:overflowPunct w:val="0"/>
              <w:autoSpaceDE w:val="0"/>
              <w:autoSpaceDN w:val="0"/>
              <w:adjustRightInd w:val="0"/>
              <w:snapToGrid w:val="0"/>
              <w:spacing w:line="240" w:lineRule="exact"/>
              <w:rPr>
                <w:rFonts w:ascii="仿宋_GB2312" w:hAnsi="仿宋" w:eastAsia="仿宋_GB2312" w:cs="仿宋_GB2312"/>
                <w:color w:val="000000"/>
                <w:spacing w:val="-32"/>
                <w:kern w:val="0"/>
                <w:sz w:val="24"/>
                <w:szCs w:val="24"/>
              </w:rPr>
            </w:pPr>
            <w:r>
              <w:rPr>
                <w:rFonts w:hint="eastAsia" w:ascii="仿宋_GB2312" w:hAnsi="仿宋" w:eastAsia="仿宋_GB2312" w:cs="仿宋_GB2312"/>
                <w:color w:val="000000"/>
                <w:spacing w:val="-32"/>
                <w:kern w:val="0"/>
                <w:sz w:val="24"/>
                <w:szCs w:val="24"/>
              </w:rPr>
              <w:t>《</w:t>
            </w:r>
            <w:r>
              <w:rPr>
                <w:rFonts w:hint="eastAsia" w:ascii="仿宋_GB2312" w:hAnsi="仿宋" w:eastAsia="仿宋_GB2312" w:cs="仿宋_GB2312"/>
                <w:color w:val="000000"/>
                <w:spacing w:val="-20"/>
                <w:kern w:val="0"/>
                <w:sz w:val="24"/>
                <w:szCs w:val="24"/>
              </w:rPr>
              <w:t>《市场主体登记管理条例》；《促进个体工商户发展条例》；</w:t>
            </w:r>
            <w:r>
              <w:rPr>
                <w:rFonts w:hint="eastAsia" w:ascii="仿宋_GB2312" w:hAnsi="仿宋" w:eastAsia="仿宋_GB2312" w:cs="仿宋_GB2312"/>
                <w:color w:val="000000"/>
                <w:spacing w:val="-32"/>
                <w:kern w:val="0"/>
                <w:sz w:val="24"/>
                <w:szCs w:val="24"/>
              </w:rPr>
              <w:t>《公司法》第二百一十一条第二款</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；《合伙企业法》第九十五条第二款</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；《个人独资企业法》第三十七条第二款</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；《外商投资合伙企业登记管理规定》第五十三条</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；《个人独资企业登记管理办法》第三十八条</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w:t>
            </w:r>
            <w:r>
              <w:rPr>
                <w:rFonts w:ascii="仿宋_GB2312" w:hAnsi="仿宋" w:eastAsia="仿宋_GB2312" w:cs="仿宋_GB2312"/>
                <w:color w:val="000000"/>
                <w:spacing w:val="-32"/>
                <w:kern w:val="0"/>
                <w:sz w:val="24"/>
                <w:szCs w:val="24"/>
              </w:rPr>
              <w:t xml:space="preserve"> </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住所（经营场所）或驻在场所的</w:t>
            </w:r>
          </w:p>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w:t>
            </w:r>
          </w:p>
        </w:tc>
        <w:tc>
          <w:tcPr>
            <w:tcW w:w="1283" w:type="dxa"/>
            <w:vMerge w:val="continue"/>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3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注册资本实缴情况的检查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国务院通知明确的暂不实行注册资本认缴登记制的行业企业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30"/>
                <w:kern w:val="0"/>
                <w:sz w:val="24"/>
                <w:szCs w:val="24"/>
              </w:rPr>
            </w:pPr>
            <w:r>
              <w:rPr>
                <w:rFonts w:hint="eastAsia" w:ascii="仿宋_GB2312" w:hAnsi="仿宋" w:eastAsia="仿宋_GB2312" w:cs="仿宋_GB2312"/>
                <w:color w:val="000000"/>
                <w:spacing w:val="-20"/>
                <w:kern w:val="0"/>
                <w:sz w:val="24"/>
                <w:szCs w:val="24"/>
              </w:rPr>
              <w:t>《市场主体登记管理条例》；《促进个体工商户发展条例》；</w:t>
            </w:r>
            <w:r>
              <w:rPr>
                <w:rFonts w:hint="eastAsia" w:ascii="仿宋_GB2312" w:hAnsi="仿宋" w:eastAsia="仿宋_GB2312" w:cs="仿宋_GB2312"/>
                <w:color w:val="000000"/>
                <w:spacing w:val="-30"/>
                <w:kern w:val="0"/>
                <w:sz w:val="24"/>
                <w:szCs w:val="24"/>
              </w:rPr>
              <w:t>《公司法》第一百九十八条至第二百条、第二百一十一条第二款；《合伙企业法》第九十五条第二款；《个人独资企业法》第三十七条第二款；《外商投资合伙企业登记管理规定》第五十三条；《个人独资企业登记管理办法》第三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法定代表人（负责人）任职情况的检查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30"/>
                <w:kern w:val="0"/>
                <w:sz w:val="24"/>
                <w:szCs w:val="24"/>
              </w:rPr>
            </w:pPr>
            <w:r>
              <w:rPr>
                <w:rFonts w:hint="eastAsia" w:ascii="仿宋_GB2312" w:hAnsi="仿宋" w:eastAsia="仿宋_GB2312" w:cs="仿宋_GB2312"/>
                <w:color w:val="000000"/>
                <w:spacing w:val="-30"/>
                <w:kern w:val="0"/>
                <w:sz w:val="24"/>
                <w:szCs w:val="24"/>
              </w:rPr>
              <w:t>《</w:t>
            </w:r>
            <w:r>
              <w:rPr>
                <w:rFonts w:hint="eastAsia" w:ascii="仿宋_GB2312" w:hAnsi="仿宋" w:eastAsia="仿宋_GB2312" w:cs="仿宋_GB2312"/>
                <w:color w:val="000000"/>
                <w:spacing w:val="-20"/>
                <w:kern w:val="0"/>
                <w:sz w:val="24"/>
                <w:szCs w:val="24"/>
              </w:rPr>
              <w:t>《市场主体登记管理条例》；《促进个体工商户发展条例》；</w:t>
            </w:r>
            <w:r>
              <w:rPr>
                <w:rFonts w:hint="eastAsia" w:ascii="仿宋_GB2312" w:hAnsi="仿宋" w:eastAsia="仿宋_GB2312" w:cs="仿宋_GB2312"/>
                <w:color w:val="000000"/>
                <w:spacing w:val="-30"/>
                <w:kern w:val="0"/>
                <w:sz w:val="24"/>
                <w:szCs w:val="24"/>
              </w:rPr>
              <w:t>《公司法》第二百一十一条第二款；《合伙企业法》第九十五条第二款；《外商投资合伙企业登记管理规定》第五十三条；《个人独资企业法》第三十七条第二款；《个人独资企业登记管理办法》第三十八条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法定代表人、自然人股东身份真实性的检查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0"/>
                <w:kern w:val="0"/>
                <w:sz w:val="24"/>
                <w:szCs w:val="24"/>
              </w:rPr>
            </w:pPr>
            <w:r>
              <w:rPr>
                <w:rFonts w:hint="eastAsia" w:ascii="仿宋_GB2312" w:hAnsi="仿宋" w:eastAsia="仿宋_GB2312" w:cs="仿宋_GB2312"/>
                <w:color w:val="000000"/>
                <w:spacing w:val="-30"/>
                <w:kern w:val="0"/>
                <w:sz w:val="24"/>
                <w:szCs w:val="24"/>
              </w:rPr>
              <w:t>《公司法》第一百九十八条；《合伙企业法》第九十三条；《个人独资企业法》第三十三条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8"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47</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公示信息检查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年度报告公示信息的检查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jc w:val="lef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书面检查、实地核查、网络监测、</w:t>
            </w:r>
            <w:r>
              <w:rPr>
                <w:rFonts w:hint="eastAsia" w:ascii="仿宋_GB2312" w:hAnsi="仿宋" w:eastAsia="仿宋_GB2312" w:cs="仿宋_GB2312"/>
                <w:color w:val="000000"/>
                <w:spacing w:val="-34"/>
                <w:kern w:val="0"/>
                <w:sz w:val="24"/>
                <w:szCs w:val="24"/>
              </w:rPr>
              <w:t>专业机构核查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《企业信息公示暂行条例》第三条、第八条、第九条、第十一条、第十二条、第十五条、第十七条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；《企业公示信息抽查暂行办法》第十条、第十二条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；《企业经营异常名录管理暂行办法》第四条、第六条、第八条、第九条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；《个体工商户年度报告暂行办法》第六条、第十一条；《农民专业合作社年度报告公示暂行办法》第五条、第八条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即时公示信息的检查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信息公示暂行条例》第三条、第十条、第十一条、第十二条、第十五条、第十七条；《企业公示信息抽查暂行办法》第十条、第十二条；《企业经营异常名录管理暂行办法》第四条、第七条、第八条、第九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48</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电子商务经营行为监督检查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电子商务平台经营者履行主体责任的检查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电子商务平台经营者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书面检查、网络监测、</w:t>
            </w:r>
            <w:r>
              <w:rPr>
                <w:rFonts w:hint="eastAsia" w:ascii="仿宋_GB2312" w:hAnsi="仿宋" w:eastAsia="仿宋_GB2312" w:cs="仿宋_GB2312"/>
                <w:color w:val="000000"/>
                <w:spacing w:val="-34"/>
                <w:kern w:val="0"/>
                <w:sz w:val="24"/>
                <w:szCs w:val="24"/>
              </w:rPr>
              <w:t>专业机构核查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《电子商务法》第二十七条、第三十一条、第三十二条、第三十三条、第三十四条、第三十六条、第三十七条、第三十九条、第四十条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49</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拍卖等重要领域市场规范管理检查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拍卖活动经营资格的检查</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《拍卖法》第十一条、第六十条；《拍卖监督管理办法》第四条、第十一条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文物经营活动经营资格的检查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《文物保护法》第五十三条、第五十四条、第七十二条以及第七十三条第一项、第二项</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为非法交易野生动物等违法行为提供交易服务的检查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《野生动物保护法》第三十二条、第五十一条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50</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广告行为检查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olor w:val="000000"/>
                <w:spacing w:val="-20"/>
                <w:kern w:val="0"/>
                <w:sz w:val="24"/>
                <w:szCs w:val="24"/>
                <w:lang w:eastAsia="zh-CN"/>
              </w:rPr>
            </w:pPr>
            <w:r>
              <w:rPr>
                <w:rFonts w:hint="eastAsia" w:ascii="仿宋_GB2312" w:hAnsi="仿宋" w:eastAsia="仿宋_GB2312" w:cs="仿宋_GB2312"/>
                <w:color w:val="000000"/>
                <w:spacing w:val="-20"/>
                <w:kern w:val="0"/>
                <w:sz w:val="24"/>
                <w:szCs w:val="24"/>
              </w:rPr>
              <w:t>广告发布情况</w:t>
            </w:r>
            <w:r>
              <w:rPr>
                <w:rFonts w:hint="eastAsia" w:ascii="仿宋_GB2312" w:hAnsi="仿宋" w:eastAsia="仿宋_GB2312" w:cs="仿宋_GB2312"/>
                <w:color w:val="000000"/>
                <w:spacing w:val="-20"/>
                <w:kern w:val="0"/>
                <w:sz w:val="24"/>
                <w:szCs w:val="24"/>
                <w:lang w:eastAsia="zh-CN"/>
              </w:rPr>
              <w:t>监督检查</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企业、个体工商户及其它经营单位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hint="eastAsia" w:ascii="仿宋_GB2312" w:hAnsi="仿宋" w:eastAsia="仿宋_GB2312"/>
                <w:color w:val="000000"/>
                <w:spacing w:val="-20"/>
                <w:kern w:val="0"/>
                <w:sz w:val="24"/>
                <w:szCs w:val="24"/>
                <w:lang w:eastAsia="zh-CN"/>
              </w:rPr>
            </w:pPr>
            <w:r>
              <w:rPr>
                <w:rFonts w:hint="eastAsia" w:ascii="仿宋_GB2312" w:hAnsi="仿宋" w:eastAsia="仿宋_GB2312" w:cs="仿宋_GB2312"/>
                <w:color w:val="000000"/>
                <w:spacing w:val="-20"/>
                <w:kern w:val="0"/>
                <w:sz w:val="24"/>
                <w:szCs w:val="24"/>
              </w:rPr>
              <w:t>书面检查、实地核查</w:t>
            </w:r>
            <w:r>
              <w:rPr>
                <w:rFonts w:hint="eastAsia" w:ascii="仿宋_GB2312" w:hAnsi="仿宋" w:eastAsia="仿宋_GB2312" w:cs="仿宋_GB2312"/>
                <w:color w:val="000000"/>
                <w:spacing w:val="-20"/>
                <w:kern w:val="0"/>
                <w:sz w:val="24"/>
                <w:szCs w:val="24"/>
                <w:lang w:eastAsia="zh-CN"/>
              </w:rPr>
              <w:t>、网络监测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《广告法》《房地产广告发布规定》《互联网广告管理暂行办法.《医疗广告管理办法》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lang w:eastAsia="zh-CN"/>
              </w:rPr>
              <w:t>医疗、</w:t>
            </w:r>
            <w:r>
              <w:rPr>
                <w:rFonts w:hint="eastAsia" w:ascii="仿宋_GB2312" w:hAnsi="仿宋" w:eastAsia="仿宋_GB2312" w:cs="仿宋_GB2312"/>
                <w:color w:val="000000"/>
                <w:spacing w:val="-20"/>
                <w:kern w:val="0"/>
                <w:sz w:val="24"/>
                <w:szCs w:val="24"/>
              </w:rPr>
              <w:t>药品、医疗器械、保健食品、特殊医学用途配方</w:t>
            </w:r>
            <w:r>
              <w:rPr>
                <w:rFonts w:hint="eastAsia" w:ascii="仿宋_GB2312" w:hAnsi="仿宋" w:eastAsia="仿宋_GB2312" w:cs="仿宋_GB2312"/>
                <w:color w:val="000000"/>
                <w:spacing w:val="-20"/>
                <w:kern w:val="0"/>
                <w:sz w:val="28"/>
                <w:szCs w:val="28"/>
              </w:rPr>
              <w:t>食品广告</w:t>
            </w:r>
            <w:r>
              <w:rPr>
                <w:rFonts w:hint="eastAsia" w:ascii="仿宋_GB2312" w:hAnsi="仿宋" w:eastAsia="仿宋_GB2312" w:cs="仿宋_GB2312"/>
                <w:color w:val="000000"/>
                <w:spacing w:val="-20"/>
                <w:kern w:val="0"/>
                <w:sz w:val="24"/>
                <w:szCs w:val="24"/>
              </w:rPr>
              <w:t>主发布相关广告的审查批准情况的检查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《广告法》第四十六条《食品安全法》第七十九条《药品管理法》第五十九条</w:t>
            </w:r>
          </w:p>
          <w:p>
            <w:pPr>
              <w:kinsoku w:val="0"/>
              <w:overflowPunct w:val="0"/>
              <w:autoSpaceDE w:val="0"/>
              <w:autoSpaceDN w:val="0"/>
              <w:adjustRightInd w:val="0"/>
              <w:snapToGrid w:val="0"/>
              <w:spacing w:line="360" w:lineRule="exact"/>
              <w:rPr>
                <w:rFonts w:hint="eastAsia" w:ascii="仿宋_GB2312" w:hAnsi="仿宋" w:eastAsia="仿宋_GB2312"/>
                <w:color w:val="000000"/>
                <w:spacing w:val="-20"/>
                <w:kern w:val="0"/>
                <w:sz w:val="24"/>
                <w:szCs w:val="24"/>
                <w:lang w:eastAsia="zh-CN"/>
              </w:rPr>
            </w:pPr>
            <w:r>
              <w:rPr>
                <w:rFonts w:hint="eastAsia" w:ascii="仿宋_GB2312" w:hAnsi="仿宋" w:eastAsia="仿宋_GB2312" w:cs="仿宋_GB2312"/>
                <w:color w:val="000000"/>
                <w:spacing w:val="-20"/>
                <w:kern w:val="0"/>
                <w:sz w:val="24"/>
                <w:szCs w:val="24"/>
              </w:rPr>
              <w:t>《医疗器械监督管理条例》第四十五条《医疗广告管理办法</w:t>
            </w:r>
            <w:r>
              <w:rPr>
                <w:rFonts w:hint="eastAsia" w:ascii="仿宋_GB2312" w:hAnsi="仿宋" w:eastAsia="仿宋_GB2312" w:cs="仿宋_GB2312"/>
                <w:color w:val="000000"/>
                <w:spacing w:val="-20"/>
                <w:kern w:val="0"/>
                <w:sz w:val="24"/>
                <w:szCs w:val="24"/>
                <w:lang w:eastAsia="zh-CN"/>
              </w:rPr>
              <w:t>》</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广告经营者、广告发布者建立、健全广告业务的承接登记、审核、档案管理制度情况的检查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企业及其它经营单位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《广告法》第三十四条、第六十一条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51</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产品质量监督抽查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生产领域产品质量监督抽查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市场上或企业成品仓库内的待销产品</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《产品质量法》第十五条；《产品质量监督抽查管理办法》第二条、第六条、第十二条、第十七条；《食品安全法》第一百一十条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食品相关产品质量安全监督检查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食品相关产品获证企业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《食品安全法》第一百一十条；《产品质量法》第十五条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52</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工业产品生产许可证产品生产企业检查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工业产品生产许可资格检查、获证企业条件检查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《工业产品生产许可证管理条例》第三十六条、三十八条、三十九条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53</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食品生产监督检查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食品生产监督检查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获证食品生产企业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《食品安全法》第一百一十条；《食品生产经营日常监督检查管理办法》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保健食品生产监督检查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保健食品生产企业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《食品安全法》第八十二条、第八十三条、第一百零九条、第一百一十条、第一百一十三条、第一百一十四条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；《食品生产经营日常监督检查管理办法》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54</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食品销售监督检查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校园食品销售监督检查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校园及校园周边食品销售者</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《食品安全法》第一百零九条、第一百一十条、第一百一十三条、第一百一十四条；《食品生产经营日常监督检查管理办法》；《乳品质量安全监督管理条例》</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高风险食品销售监督检查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风险等级为</w:t>
            </w:r>
            <w:r>
              <w:rPr>
                <w:rFonts w:ascii="仿宋_GB2312" w:hAnsi="仿宋" w:eastAsia="仿宋_GB2312" w:cs="仿宋_GB2312"/>
                <w:color w:val="000000"/>
                <w:spacing w:val="-32"/>
                <w:kern w:val="0"/>
                <w:sz w:val="24"/>
                <w:szCs w:val="24"/>
              </w:rPr>
              <w:t>B</w:t>
            </w:r>
            <w:r>
              <w:rPr>
                <w:rFonts w:hint="eastAsia" w:ascii="仿宋_GB2312" w:hAnsi="仿宋" w:eastAsia="仿宋_GB2312" w:cs="仿宋_GB2312"/>
                <w:color w:val="000000"/>
                <w:spacing w:val="-32"/>
                <w:kern w:val="0"/>
                <w:sz w:val="24"/>
                <w:szCs w:val="24"/>
              </w:rPr>
              <w:t>、</w:t>
            </w:r>
            <w:r>
              <w:rPr>
                <w:rFonts w:ascii="仿宋_GB2312" w:hAnsi="仿宋" w:eastAsia="仿宋_GB2312" w:cs="仿宋_GB2312"/>
                <w:color w:val="000000"/>
                <w:spacing w:val="-32"/>
                <w:kern w:val="0"/>
                <w:sz w:val="24"/>
                <w:szCs w:val="24"/>
              </w:rPr>
              <w:t>C</w:t>
            </w:r>
            <w:r>
              <w:rPr>
                <w:rFonts w:hint="eastAsia" w:ascii="仿宋_GB2312" w:hAnsi="仿宋" w:eastAsia="仿宋_GB2312" w:cs="仿宋_GB2312"/>
                <w:color w:val="000000"/>
                <w:spacing w:val="-32"/>
                <w:kern w:val="0"/>
                <w:sz w:val="24"/>
                <w:szCs w:val="24"/>
              </w:rPr>
              <w:t>、</w:t>
            </w:r>
            <w:r>
              <w:rPr>
                <w:rFonts w:ascii="仿宋_GB2312" w:hAnsi="仿宋" w:eastAsia="仿宋_GB2312" w:cs="仿宋_GB2312"/>
                <w:color w:val="000000"/>
                <w:spacing w:val="-32"/>
                <w:kern w:val="0"/>
                <w:sz w:val="24"/>
                <w:szCs w:val="24"/>
              </w:rPr>
              <w:t>D</w:t>
            </w:r>
            <w:r>
              <w:rPr>
                <w:rFonts w:hint="eastAsia" w:ascii="仿宋_GB2312" w:hAnsi="仿宋" w:eastAsia="仿宋_GB2312" w:cs="仿宋_GB2312"/>
                <w:color w:val="000000"/>
                <w:spacing w:val="-32"/>
                <w:kern w:val="0"/>
                <w:sz w:val="24"/>
                <w:szCs w:val="24"/>
              </w:rPr>
              <w:t>级食品销售者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一般风险食品销售监督检查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风险等级为</w:t>
            </w:r>
            <w:r>
              <w:rPr>
                <w:rFonts w:ascii="仿宋_GB2312" w:hAnsi="仿宋" w:eastAsia="仿宋_GB2312" w:cs="仿宋_GB2312"/>
                <w:color w:val="000000"/>
                <w:spacing w:val="-32"/>
                <w:kern w:val="0"/>
                <w:sz w:val="24"/>
                <w:szCs w:val="24"/>
              </w:rPr>
              <w:t>A</w:t>
            </w:r>
            <w:r>
              <w:rPr>
                <w:rFonts w:hint="eastAsia" w:ascii="仿宋_GB2312" w:hAnsi="仿宋" w:eastAsia="仿宋_GB2312" w:cs="仿宋_GB2312"/>
                <w:color w:val="000000"/>
                <w:spacing w:val="-32"/>
                <w:kern w:val="0"/>
                <w:sz w:val="24"/>
                <w:szCs w:val="24"/>
              </w:rPr>
              <w:t>级的食品销售者</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书面检查、实地核查、网络监测</w:t>
            </w: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网络食品销售监督检查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网络食品交易入网食品销售者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55</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食用农产品市场销售质量安全检查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食用农产品集中交易市场监督检查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食用农产品集中交易市场（含批发市场和农贸市场）</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实地核查、抽样检测</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《食品安全法》第一百一十条；《食用农产品市场销售质量安全监督管理办法》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食用农产品销售企业（者）监督检查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食用农产品销售企业（含批发企业和零售企业）、其他销售者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56</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餐饮服务监督检查</w:t>
            </w: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食品经营许可情况的检查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；《食品生产经营日常监督检查管理办法》</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原料控制（含食品添加剂）情况的检查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加工制作过程的检查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供餐、用餐与配送情况的检查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餐饮具清洗消毒情况的检查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57</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餐饮服务监督检查</w:t>
            </w: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场所和设施清洁维护情况的检查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；《食品生产经营日常监督检查管理办法》</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食品安全管理情况的检查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人员管理情况的检查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网络餐饮服务情况的检查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40"/>
                <w:kern w:val="0"/>
                <w:sz w:val="24"/>
                <w:szCs w:val="24"/>
              </w:rPr>
            </w:pPr>
            <w:r>
              <w:rPr>
                <w:rFonts w:hint="eastAsia" w:ascii="仿宋_GB2312" w:hAnsi="仿宋" w:eastAsia="仿宋_GB2312" w:cs="仿宋_GB2312"/>
                <w:color w:val="000000"/>
                <w:spacing w:val="-40"/>
                <w:kern w:val="0"/>
                <w:sz w:val="24"/>
                <w:szCs w:val="24"/>
              </w:rPr>
              <w:t>入网餐饮服务提供者、网络餐饮服务第三方平台</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书面检查、实地核查、网络监测</w:t>
            </w: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58</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食品安全监督抽检</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食品安全监督抽检</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市场在售食品</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抽样检验</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《食品安全法》第八十七条；《食品安全抽样检验管理办法》</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59</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对特种设备使用单位的监督检查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特种设备使用单位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《特种设备安全法》第五十七条；《特种设备安全监察条例》第五十条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对特种设备生产单位的监督检查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特种设备生产单位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《特种设备安全法》第五十七条；《特种设备安全监察条例》第五十条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对特种设备检验、检测机构监督检查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特种设备检验、检测机构</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《特种设备安全法》第五十七条；《特种设备安全监察条例》第五十条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60</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法定计量检定机构专项监督检查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法定计量检定机构</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《计量法》第十八条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《计量法实施细则》第二十八条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《法定计量检定机构监督管理办法》第十五、十六条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《专业计量站管理办法》第十四、十八条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定量包装商品净含量国家计量监督专项抽查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企业、个体工商户及其他经营者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《计量法》第十八条；《定量包装商品计量监督管理办法》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型式批准监督检查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企业、事业单位、个体工商户及其他经营者</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《计量法》第十八条；《计量法实施细则》第十八、二十条；《计量器具新产品管理办法》第十八条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61</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市场类标准监督检查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企业标准自我声明监督检查</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书面检查、网络监测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《标准化法》第二十七条、第三十八条、第三十九条、第四十二条</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62</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检验检测</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机构检查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检验检测机构检查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检验检测机构</w:t>
            </w:r>
          </w:p>
        </w:tc>
        <w:tc>
          <w:tcPr>
            <w:tcW w:w="1283" w:type="dxa"/>
            <w:vMerge w:val="continue"/>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二十二条；《产品质量法》第十九条、第五十七条；《认证认可条例》第十六条、第三十三条；《检验检测机构资质认定管理办法》第四十一条至第四十七条；《食品检验机构资质认定管理办法》第三十二条至第四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Align w:val="center"/>
          </w:tcPr>
          <w:p>
            <w:pPr>
              <w:spacing w:line="300" w:lineRule="exact"/>
              <w:jc w:val="center"/>
              <w:rPr>
                <w:rFonts w:hint="default" w:ascii="仿宋" w:hAnsi="仿宋" w:eastAsia="仿宋" w:cs="仿宋"/>
                <w:color w:val="000000"/>
                <w:spacing w:val="-20"/>
                <w:kern w:val="0"/>
                <w:lang w:val="en-US" w:eastAsia="zh-CN"/>
              </w:rPr>
            </w:pPr>
            <w:r>
              <w:rPr>
                <w:rFonts w:hint="eastAsia" w:ascii="仿宋" w:hAnsi="仿宋" w:eastAsia="仿宋" w:cs="仿宋"/>
                <w:color w:val="000000"/>
                <w:spacing w:val="-20"/>
                <w:kern w:val="0"/>
                <w:lang w:val="en-US" w:eastAsia="zh-CN"/>
              </w:rPr>
              <w:t>63</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价格行为检查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执行政府定价、政府指导价情况，明码标价情况及其他价格行为的检查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《价格法》规定经营者</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现场检查等</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《价格法》</w:t>
            </w:r>
          </w:p>
        </w:tc>
        <w:tc>
          <w:tcPr>
            <w:tcW w:w="1224" w:type="dxa"/>
            <w:vMerge w:val="continue"/>
            <w:vAlign w:val="center"/>
          </w:tcPr>
          <w:p>
            <w:pPr>
              <w:spacing w:line="260" w:lineRule="exact"/>
              <w:rPr>
                <w:rFonts w:ascii="仿宋" w:hAnsi="仿宋" w:eastAsia="仿宋"/>
                <w:color w:val="000000"/>
                <w:spacing w:val="-2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02" w:type="dxa"/>
            <w:vAlign w:val="center"/>
          </w:tcPr>
          <w:p>
            <w:pPr>
              <w:spacing w:line="300" w:lineRule="exact"/>
              <w:jc w:val="center"/>
              <w:rPr>
                <w:rFonts w:hint="default" w:ascii="仿宋" w:hAnsi="仿宋" w:eastAsia="仿宋"/>
                <w:color w:val="000000"/>
                <w:spacing w:val="-20"/>
                <w:kern w:val="0"/>
                <w:lang w:val="en-US" w:eastAsia="zh-CN"/>
              </w:rPr>
            </w:pPr>
            <w:r>
              <w:rPr>
                <w:rFonts w:hint="eastAsia" w:ascii="仿宋" w:hAnsi="仿宋" w:eastAsia="仿宋"/>
                <w:color w:val="000000"/>
                <w:spacing w:val="-20"/>
                <w:kern w:val="0"/>
                <w:lang w:val="en-US" w:eastAsia="zh-CN"/>
              </w:rPr>
              <w:t>64</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专利真实性监督检查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专利证书、专利文件或专利申请文件真实性的检查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各类市场主体、产品</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现场检查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《专利法》 第六十三条</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《专利法实施细则》 第八十四条</w:t>
            </w:r>
          </w:p>
        </w:tc>
        <w:tc>
          <w:tcPr>
            <w:tcW w:w="1224" w:type="dxa"/>
            <w:vMerge w:val="continue"/>
            <w:vAlign w:val="center"/>
          </w:tcPr>
          <w:p>
            <w:pPr>
              <w:spacing w:line="260" w:lineRule="exact"/>
              <w:rPr>
                <w:rFonts w:ascii="仿宋" w:hAnsi="仿宋" w:eastAsia="仿宋"/>
                <w:color w:val="000000"/>
                <w:spacing w:val="-2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702" w:type="dxa"/>
            <w:vAlign w:val="center"/>
          </w:tcPr>
          <w:p>
            <w:pPr>
              <w:spacing w:line="300" w:lineRule="exact"/>
              <w:jc w:val="center"/>
              <w:rPr>
                <w:rFonts w:hint="default" w:ascii="仿宋" w:hAnsi="仿宋" w:eastAsia="仿宋"/>
                <w:color w:val="000000"/>
                <w:spacing w:val="-20"/>
                <w:kern w:val="0"/>
                <w:lang w:val="en-US" w:eastAsia="zh-CN"/>
              </w:rPr>
            </w:pPr>
            <w:r>
              <w:rPr>
                <w:rFonts w:hint="eastAsia" w:ascii="仿宋" w:hAnsi="仿宋" w:eastAsia="仿宋"/>
                <w:color w:val="000000"/>
                <w:spacing w:val="-20"/>
                <w:kern w:val="0"/>
                <w:lang w:val="en-US" w:eastAsia="zh-CN"/>
              </w:rPr>
              <w:t>65</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商标使用行为的检查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商标使用行为的检查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现场抽查、书面检查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《商标法》第六条、第十条、第十四条第五款、第四十三条第二款、第四十九条第一款、第五十一条、第五十二条、第五十三条</w:t>
            </w:r>
            <w:r>
              <w:rPr>
                <w:rFonts w:hint="eastAsia" w:ascii="仿宋_GB2312" w:hAnsi="仿宋" w:eastAsia="仿宋_GB2312" w:cs="仿宋_GB2312"/>
                <w:color w:val="000000"/>
                <w:spacing w:val="-20"/>
                <w:kern w:val="0"/>
                <w:sz w:val="24"/>
                <w:szCs w:val="24"/>
              </w:rPr>
              <w:br w:type="textWrapping"/>
            </w:r>
            <w:r>
              <w:rPr>
                <w:rFonts w:hint="eastAsia" w:ascii="仿宋_GB2312" w:hAnsi="仿宋" w:eastAsia="仿宋_GB2312" w:cs="仿宋_GB2312"/>
                <w:color w:val="000000"/>
                <w:spacing w:val="-20"/>
                <w:kern w:val="0"/>
                <w:sz w:val="24"/>
                <w:szCs w:val="24"/>
              </w:rPr>
              <w:t>商标法实施条例》第七十一条</w:t>
            </w:r>
          </w:p>
        </w:tc>
        <w:tc>
          <w:tcPr>
            <w:tcW w:w="1224" w:type="dxa"/>
            <w:vMerge w:val="continue"/>
            <w:vAlign w:val="center"/>
          </w:tcPr>
          <w:p>
            <w:pPr>
              <w:spacing w:line="260" w:lineRule="exact"/>
              <w:rPr>
                <w:rFonts w:ascii="仿宋" w:hAnsi="仿宋" w:eastAsia="仿宋"/>
                <w:color w:val="000000"/>
                <w:spacing w:val="-2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702" w:type="dxa"/>
            <w:vAlign w:val="center"/>
          </w:tcPr>
          <w:p>
            <w:pPr>
              <w:kinsoku w:val="0"/>
              <w:overflowPunct w:val="0"/>
              <w:autoSpaceDE w:val="0"/>
              <w:autoSpaceDN w:val="0"/>
              <w:adjustRightInd w:val="0"/>
              <w:snapToGrid w:val="0"/>
              <w:spacing w:line="300" w:lineRule="exact"/>
              <w:jc w:val="center"/>
              <w:rPr>
                <w:rFonts w:hint="default" w:ascii="仿宋_GB2312" w:hAnsi="黑体" w:eastAsia="仿宋_GB2312"/>
                <w:spacing w:val="-20"/>
                <w:sz w:val="24"/>
                <w:szCs w:val="24"/>
                <w:lang w:val="en-US" w:eastAsia="zh-CN"/>
              </w:rPr>
            </w:pPr>
            <w:r>
              <w:rPr>
                <w:rFonts w:hint="eastAsia" w:ascii="仿宋_GB2312" w:hAnsi="黑体" w:eastAsia="仿宋_GB2312"/>
                <w:spacing w:val="-20"/>
                <w:sz w:val="24"/>
                <w:szCs w:val="24"/>
                <w:lang w:val="en-US" w:eastAsia="zh-CN"/>
              </w:rPr>
              <w:t>66</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污染源日常环境监督检查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对排放污染物的企业事业单位和其他生产经营者进行现场检查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所有污染源</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《中华人民共和国环境保护法》第二十四条</w:t>
            </w:r>
          </w:p>
        </w:tc>
        <w:tc>
          <w:tcPr>
            <w:tcW w:w="1224" w:type="dxa"/>
            <w:vMerge w:val="restart"/>
            <w:tcBorders>
              <w:right w:val="single" w:color="auto" w:sz="4" w:space="0"/>
            </w:tcBorders>
            <w:vAlign w:val="center"/>
          </w:tcPr>
          <w:p>
            <w:pPr>
              <w:kinsoku w:val="0"/>
              <w:overflowPunct w:val="0"/>
              <w:autoSpaceDE w:val="0"/>
              <w:autoSpaceDN w:val="0"/>
              <w:adjustRightInd w:val="0"/>
              <w:snapToGrid w:val="0"/>
              <w:spacing w:line="300" w:lineRule="exact"/>
              <w:jc w:val="center"/>
              <w:rPr>
                <w:rFonts w:ascii="仿宋_GB2312" w:eastAsia="仿宋_GB2312"/>
                <w:spacing w:val="-20"/>
                <w:sz w:val="24"/>
                <w:szCs w:val="24"/>
              </w:rPr>
            </w:pPr>
            <w:r>
              <w:rPr>
                <w:rFonts w:hint="eastAsia" w:ascii="仿宋_GB2312" w:eastAsia="仿宋_GB2312" w:cs="仿宋_GB2312"/>
                <w:spacing w:val="-20"/>
                <w:sz w:val="24"/>
                <w:szCs w:val="24"/>
              </w:rPr>
              <w:t>生态</w:t>
            </w:r>
          </w:p>
          <w:p>
            <w:pPr>
              <w:kinsoku w:val="0"/>
              <w:overflowPunct w:val="0"/>
              <w:autoSpaceDE w:val="0"/>
              <w:autoSpaceDN w:val="0"/>
              <w:adjustRightInd w:val="0"/>
              <w:snapToGrid w:val="0"/>
              <w:spacing w:line="300" w:lineRule="exact"/>
              <w:jc w:val="center"/>
              <w:rPr>
                <w:rFonts w:ascii="仿宋_GB2312" w:eastAsia="仿宋_GB2312"/>
                <w:spacing w:val="-20"/>
                <w:sz w:val="24"/>
                <w:szCs w:val="24"/>
              </w:rPr>
            </w:pPr>
            <w:r>
              <w:rPr>
                <w:rFonts w:hint="eastAsia" w:ascii="仿宋_GB2312" w:eastAsia="仿宋_GB2312" w:cs="仿宋_GB2312"/>
                <w:spacing w:val="-20"/>
                <w:sz w:val="24"/>
                <w:szCs w:val="24"/>
              </w:rPr>
              <w:t>环境中心</w:t>
            </w:r>
          </w:p>
          <w:p>
            <w:pPr>
              <w:kinsoku w:val="0"/>
              <w:overflowPunct w:val="0"/>
              <w:autoSpaceDE w:val="0"/>
              <w:autoSpaceDN w:val="0"/>
              <w:adjustRightInd w:val="0"/>
              <w:snapToGrid w:val="0"/>
              <w:spacing w:line="260" w:lineRule="exact"/>
              <w:rPr>
                <w:rFonts w:ascii="仿宋_GB2312" w:eastAsia="仿宋_GB2312"/>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702" w:type="dxa"/>
            <w:vAlign w:val="center"/>
          </w:tcPr>
          <w:p>
            <w:pPr>
              <w:kinsoku w:val="0"/>
              <w:overflowPunct w:val="0"/>
              <w:autoSpaceDE w:val="0"/>
              <w:autoSpaceDN w:val="0"/>
              <w:adjustRightInd w:val="0"/>
              <w:snapToGrid w:val="0"/>
              <w:spacing w:line="30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67</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机动车销售企业监管</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机动车环保信息公开检查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机动车销售企业</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《中华人民共和国大气污染防治法》《关于开展机动车和非道路移动机械环保信息公开工作的公告》（国环规大气〔2016〕3号）</w:t>
            </w:r>
          </w:p>
        </w:tc>
        <w:tc>
          <w:tcPr>
            <w:tcW w:w="1224" w:type="dxa"/>
            <w:vMerge w:val="continue"/>
            <w:tcBorders>
              <w:right w:val="single" w:color="auto" w:sz="4" w:space="0"/>
            </w:tcBorders>
            <w:vAlign w:val="center"/>
          </w:tcPr>
          <w:p>
            <w:pPr>
              <w:kinsoku w:val="0"/>
              <w:overflowPunct w:val="0"/>
              <w:autoSpaceDE w:val="0"/>
              <w:autoSpaceDN w:val="0"/>
              <w:adjustRightInd w:val="0"/>
              <w:snapToGrid w:val="0"/>
              <w:spacing w:line="260" w:lineRule="exact"/>
              <w:rPr>
                <w:rFonts w:ascii="仿宋_GB2312" w:eastAsia="仿宋_GB2312"/>
                <w:color w:val="000000"/>
                <w:spacing w:val="-20"/>
                <w:sz w:val="24"/>
                <w:szCs w:val="24"/>
              </w:rPr>
            </w:pPr>
          </w:p>
        </w:tc>
      </w:tr>
    </w:tbl>
    <w:p>
      <w:pPr>
        <w:spacing w:line="560" w:lineRule="exact"/>
        <w:rPr>
          <w:rFonts w:ascii="仿宋_GB2312" w:eastAsia="仿宋_GB2312"/>
          <w:color w:val="000000"/>
          <w:sz w:val="32"/>
          <w:szCs w:val="32"/>
        </w:rPr>
        <w:sectPr>
          <w:footerReference r:id="rId3" w:type="default"/>
          <w:pgSz w:w="16783" w:h="11850" w:orient="landscape"/>
          <w:pgMar w:top="1134" w:right="1134" w:bottom="794" w:left="1134" w:header="851" w:footer="1191" w:gutter="0"/>
          <w:pgNumType w:fmt="numberInDash"/>
          <w:cols w:space="0" w:num="1"/>
          <w:docGrid w:linePitch="312" w:charSpace="0"/>
        </w:sectPr>
      </w:pPr>
    </w:p>
    <w:p>
      <w:pPr>
        <w:spacing w:line="560" w:lineRule="exact"/>
      </w:pPr>
    </w:p>
    <w:sectPr>
      <w:pgSz w:w="16838" w:h="11906" w:orient="landscape"/>
      <w:pgMar w:top="1361" w:right="1134" w:bottom="1361" w:left="1134" w:header="851" w:footer="1191"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- 28 -</w:t>
    </w:r>
    <w:r>
      <w:rPr>
        <w:rStyle w:val="11"/>
      </w:rPr>
      <w:fldChar w:fldCharType="end"/>
    </w:r>
  </w:p>
  <w:p>
    <w:pPr>
      <w:pStyle w:val="3"/>
      <w:ind w:right="360"/>
      <w:jc w:val="center"/>
      <w:rPr>
        <w:sz w:val="24"/>
        <w:szCs w:val="24"/>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922595"/>
    <w:multiLevelType w:val="singleLevel"/>
    <w:tmpl w:val="F0922595"/>
    <w:lvl w:ilvl="0" w:tentative="0">
      <w:start w:val="1"/>
      <w:numFmt w:val="decimal"/>
      <w:suff w:val="nothing"/>
      <w:lvlText w:val="%1、"/>
      <w:lvlJc w:val="left"/>
    </w:lvl>
  </w:abstractNum>
  <w:abstractNum w:abstractNumId="1">
    <w:nsid w:val="1AB615FE"/>
    <w:multiLevelType w:val="singleLevel"/>
    <w:tmpl w:val="1AB615FE"/>
    <w:lvl w:ilvl="0" w:tentative="0">
      <w:start w:val="1"/>
      <w:numFmt w:val="decimal"/>
      <w:suff w:val="nothing"/>
      <w:lvlText w:val="%1、"/>
      <w:lvlJc w:val="left"/>
    </w:lvl>
  </w:abstractNum>
  <w:abstractNum w:abstractNumId="2">
    <w:nsid w:val="210BBC65"/>
    <w:multiLevelType w:val="singleLevel"/>
    <w:tmpl w:val="210BBC6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B6"/>
    <w:rsid w:val="000105C3"/>
    <w:rsid w:val="000349F9"/>
    <w:rsid w:val="0004544C"/>
    <w:rsid w:val="0009585F"/>
    <w:rsid w:val="000978DE"/>
    <w:rsid w:val="000B5C7A"/>
    <w:rsid w:val="000C0A3F"/>
    <w:rsid w:val="000E2BBF"/>
    <w:rsid w:val="000E3305"/>
    <w:rsid w:val="000E3928"/>
    <w:rsid w:val="000F2912"/>
    <w:rsid w:val="000F698C"/>
    <w:rsid w:val="00115970"/>
    <w:rsid w:val="001218BE"/>
    <w:rsid w:val="0012401B"/>
    <w:rsid w:val="0012514C"/>
    <w:rsid w:val="001263DD"/>
    <w:rsid w:val="001277BA"/>
    <w:rsid w:val="00132765"/>
    <w:rsid w:val="00140059"/>
    <w:rsid w:val="001411FA"/>
    <w:rsid w:val="00147397"/>
    <w:rsid w:val="001564DB"/>
    <w:rsid w:val="001613A3"/>
    <w:rsid w:val="001618F4"/>
    <w:rsid w:val="00163272"/>
    <w:rsid w:val="001722C5"/>
    <w:rsid w:val="001B308B"/>
    <w:rsid w:val="001B5420"/>
    <w:rsid w:val="001E3FC0"/>
    <w:rsid w:val="001E6ECD"/>
    <w:rsid w:val="001F33FE"/>
    <w:rsid w:val="00222B97"/>
    <w:rsid w:val="002250E5"/>
    <w:rsid w:val="0025710F"/>
    <w:rsid w:val="00261E17"/>
    <w:rsid w:val="00265181"/>
    <w:rsid w:val="00266612"/>
    <w:rsid w:val="00290779"/>
    <w:rsid w:val="00297F4F"/>
    <w:rsid w:val="002B15F6"/>
    <w:rsid w:val="00304C48"/>
    <w:rsid w:val="00305671"/>
    <w:rsid w:val="00327791"/>
    <w:rsid w:val="00335A84"/>
    <w:rsid w:val="003621D1"/>
    <w:rsid w:val="003841D4"/>
    <w:rsid w:val="003C2758"/>
    <w:rsid w:val="003C499F"/>
    <w:rsid w:val="003C515E"/>
    <w:rsid w:val="003D74C0"/>
    <w:rsid w:val="003E4F8F"/>
    <w:rsid w:val="0040244A"/>
    <w:rsid w:val="00405B3F"/>
    <w:rsid w:val="00406141"/>
    <w:rsid w:val="004120C8"/>
    <w:rsid w:val="0041483C"/>
    <w:rsid w:val="004200ED"/>
    <w:rsid w:val="00455FD3"/>
    <w:rsid w:val="00463850"/>
    <w:rsid w:val="00472854"/>
    <w:rsid w:val="00477BF6"/>
    <w:rsid w:val="004975FD"/>
    <w:rsid w:val="004A101D"/>
    <w:rsid w:val="004D43E0"/>
    <w:rsid w:val="004D62FA"/>
    <w:rsid w:val="004F1FD7"/>
    <w:rsid w:val="004F46E2"/>
    <w:rsid w:val="00502B50"/>
    <w:rsid w:val="005031C8"/>
    <w:rsid w:val="0050717D"/>
    <w:rsid w:val="00513B51"/>
    <w:rsid w:val="00517AA6"/>
    <w:rsid w:val="005211EC"/>
    <w:rsid w:val="00521F80"/>
    <w:rsid w:val="00556D32"/>
    <w:rsid w:val="00563FBC"/>
    <w:rsid w:val="00566C0B"/>
    <w:rsid w:val="005839A5"/>
    <w:rsid w:val="005960FE"/>
    <w:rsid w:val="005B047E"/>
    <w:rsid w:val="005C3A2B"/>
    <w:rsid w:val="005C5CB0"/>
    <w:rsid w:val="005D3026"/>
    <w:rsid w:val="005E7E55"/>
    <w:rsid w:val="00610A7A"/>
    <w:rsid w:val="00646370"/>
    <w:rsid w:val="00654D69"/>
    <w:rsid w:val="00666B0E"/>
    <w:rsid w:val="00670E1E"/>
    <w:rsid w:val="00674E1D"/>
    <w:rsid w:val="00675D72"/>
    <w:rsid w:val="00680C02"/>
    <w:rsid w:val="006A112A"/>
    <w:rsid w:val="006C1AF5"/>
    <w:rsid w:val="006D07B6"/>
    <w:rsid w:val="006E2C36"/>
    <w:rsid w:val="006E2F8F"/>
    <w:rsid w:val="006E3B56"/>
    <w:rsid w:val="006F6FEF"/>
    <w:rsid w:val="006F77AF"/>
    <w:rsid w:val="0072515B"/>
    <w:rsid w:val="00740DD4"/>
    <w:rsid w:val="007446FF"/>
    <w:rsid w:val="007447B0"/>
    <w:rsid w:val="00762D13"/>
    <w:rsid w:val="00766479"/>
    <w:rsid w:val="00782A3C"/>
    <w:rsid w:val="00783025"/>
    <w:rsid w:val="007859F9"/>
    <w:rsid w:val="00790339"/>
    <w:rsid w:val="00790866"/>
    <w:rsid w:val="00790B66"/>
    <w:rsid w:val="00795FEC"/>
    <w:rsid w:val="007963EC"/>
    <w:rsid w:val="007A2DBA"/>
    <w:rsid w:val="007A40CF"/>
    <w:rsid w:val="007F21FD"/>
    <w:rsid w:val="007F54B6"/>
    <w:rsid w:val="007F6FD4"/>
    <w:rsid w:val="00805760"/>
    <w:rsid w:val="008162EB"/>
    <w:rsid w:val="0081745C"/>
    <w:rsid w:val="0081765B"/>
    <w:rsid w:val="008254F2"/>
    <w:rsid w:val="00845F18"/>
    <w:rsid w:val="00847622"/>
    <w:rsid w:val="00861A7C"/>
    <w:rsid w:val="0086436E"/>
    <w:rsid w:val="008658F7"/>
    <w:rsid w:val="00882300"/>
    <w:rsid w:val="00885A8F"/>
    <w:rsid w:val="008A77D1"/>
    <w:rsid w:val="008B277E"/>
    <w:rsid w:val="008C0155"/>
    <w:rsid w:val="00901EA8"/>
    <w:rsid w:val="00902450"/>
    <w:rsid w:val="00904C78"/>
    <w:rsid w:val="00921DEF"/>
    <w:rsid w:val="00927AB8"/>
    <w:rsid w:val="00930FB5"/>
    <w:rsid w:val="00944682"/>
    <w:rsid w:val="009459D3"/>
    <w:rsid w:val="00955F63"/>
    <w:rsid w:val="009607BF"/>
    <w:rsid w:val="00977576"/>
    <w:rsid w:val="00980952"/>
    <w:rsid w:val="00982759"/>
    <w:rsid w:val="00994CF3"/>
    <w:rsid w:val="009A341E"/>
    <w:rsid w:val="009A513D"/>
    <w:rsid w:val="009B3C4C"/>
    <w:rsid w:val="009B4EA8"/>
    <w:rsid w:val="009C50A5"/>
    <w:rsid w:val="009F0D72"/>
    <w:rsid w:val="00A219AF"/>
    <w:rsid w:val="00A3097A"/>
    <w:rsid w:val="00A326BB"/>
    <w:rsid w:val="00A73F0C"/>
    <w:rsid w:val="00A75FA7"/>
    <w:rsid w:val="00A76DBD"/>
    <w:rsid w:val="00A77595"/>
    <w:rsid w:val="00A90E76"/>
    <w:rsid w:val="00A93567"/>
    <w:rsid w:val="00AB68AD"/>
    <w:rsid w:val="00AB7A19"/>
    <w:rsid w:val="00AC09B0"/>
    <w:rsid w:val="00AC24FC"/>
    <w:rsid w:val="00AC6FFE"/>
    <w:rsid w:val="00AE21D5"/>
    <w:rsid w:val="00AE3487"/>
    <w:rsid w:val="00AE4B58"/>
    <w:rsid w:val="00AF45C3"/>
    <w:rsid w:val="00AF554B"/>
    <w:rsid w:val="00B221BB"/>
    <w:rsid w:val="00B239FB"/>
    <w:rsid w:val="00B24CAA"/>
    <w:rsid w:val="00B61C87"/>
    <w:rsid w:val="00B73BD7"/>
    <w:rsid w:val="00B761DE"/>
    <w:rsid w:val="00BA009F"/>
    <w:rsid w:val="00BB49E3"/>
    <w:rsid w:val="00BB541A"/>
    <w:rsid w:val="00BB5FBB"/>
    <w:rsid w:val="00BC34BB"/>
    <w:rsid w:val="00BC5647"/>
    <w:rsid w:val="00BD0C74"/>
    <w:rsid w:val="00BF05B0"/>
    <w:rsid w:val="00BF3AE7"/>
    <w:rsid w:val="00BF7E01"/>
    <w:rsid w:val="00C019F7"/>
    <w:rsid w:val="00C01E9D"/>
    <w:rsid w:val="00C30474"/>
    <w:rsid w:val="00C3638B"/>
    <w:rsid w:val="00C44FF8"/>
    <w:rsid w:val="00C52367"/>
    <w:rsid w:val="00C53C52"/>
    <w:rsid w:val="00C54461"/>
    <w:rsid w:val="00C61F2A"/>
    <w:rsid w:val="00C70AD6"/>
    <w:rsid w:val="00C92DC7"/>
    <w:rsid w:val="00C94A04"/>
    <w:rsid w:val="00C95405"/>
    <w:rsid w:val="00CA5143"/>
    <w:rsid w:val="00CA7E3F"/>
    <w:rsid w:val="00CD77EC"/>
    <w:rsid w:val="00CE32B8"/>
    <w:rsid w:val="00D50DF0"/>
    <w:rsid w:val="00D51CF6"/>
    <w:rsid w:val="00D730CB"/>
    <w:rsid w:val="00D96C0D"/>
    <w:rsid w:val="00DC4749"/>
    <w:rsid w:val="00DD0F42"/>
    <w:rsid w:val="00DD2137"/>
    <w:rsid w:val="00DE3465"/>
    <w:rsid w:val="00DE65DE"/>
    <w:rsid w:val="00DF0D2E"/>
    <w:rsid w:val="00DF579A"/>
    <w:rsid w:val="00E05ECE"/>
    <w:rsid w:val="00E075C2"/>
    <w:rsid w:val="00E35FB7"/>
    <w:rsid w:val="00E37871"/>
    <w:rsid w:val="00E44431"/>
    <w:rsid w:val="00E44A7D"/>
    <w:rsid w:val="00E53064"/>
    <w:rsid w:val="00E917B7"/>
    <w:rsid w:val="00EA5DC0"/>
    <w:rsid w:val="00EA6B4A"/>
    <w:rsid w:val="00EA784D"/>
    <w:rsid w:val="00EB097C"/>
    <w:rsid w:val="00EB269D"/>
    <w:rsid w:val="00EE53FD"/>
    <w:rsid w:val="00EF1B81"/>
    <w:rsid w:val="00F07446"/>
    <w:rsid w:val="00F13E2B"/>
    <w:rsid w:val="00F46D1B"/>
    <w:rsid w:val="00F50CB4"/>
    <w:rsid w:val="00F560FF"/>
    <w:rsid w:val="00F62922"/>
    <w:rsid w:val="00F64173"/>
    <w:rsid w:val="00F648EB"/>
    <w:rsid w:val="00F6580F"/>
    <w:rsid w:val="00F74260"/>
    <w:rsid w:val="00F7692C"/>
    <w:rsid w:val="00F804EF"/>
    <w:rsid w:val="00F914ED"/>
    <w:rsid w:val="00FB6764"/>
    <w:rsid w:val="00FD734D"/>
    <w:rsid w:val="00FE04F3"/>
    <w:rsid w:val="00FE50E6"/>
    <w:rsid w:val="00FE6006"/>
    <w:rsid w:val="00FE7924"/>
    <w:rsid w:val="00FF4C60"/>
    <w:rsid w:val="034D0168"/>
    <w:rsid w:val="148B441D"/>
    <w:rsid w:val="15652BD8"/>
    <w:rsid w:val="38945A1B"/>
    <w:rsid w:val="3C7D479C"/>
    <w:rsid w:val="49391C51"/>
    <w:rsid w:val="7842237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link w:val="9"/>
    <w:semiHidden/>
    <w:locked/>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after="136"/>
      <w:jc w:val="left"/>
    </w:pPr>
    <w:rPr>
      <w:rFonts w:ascii="宋体" w:hAnsi="宋体" w:cs="宋体"/>
      <w:kern w:val="0"/>
      <w:sz w:val="24"/>
      <w:szCs w:val="24"/>
    </w:rPr>
  </w:style>
  <w:style w:type="table" w:styleId="7">
    <w:name w:val="Table Grid"/>
    <w:basedOn w:val="6"/>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Char1"/>
    <w:basedOn w:val="1"/>
    <w:link w:val="8"/>
    <w:uiPriority w:val="99"/>
    <w:pPr>
      <w:spacing w:line="240" w:lineRule="exact"/>
    </w:pPr>
    <w:rPr>
      <w:rFonts w:ascii="仿宋_GB2312" w:hAnsi="宋体" w:eastAsia="仿宋_GB2312" w:cs="仿宋_GB2312"/>
      <w:sz w:val="32"/>
      <w:szCs w:val="32"/>
    </w:rPr>
  </w:style>
  <w:style w:type="character" w:styleId="10">
    <w:name w:val="Strong"/>
    <w:basedOn w:val="8"/>
    <w:qFormat/>
    <w:uiPriority w:val="99"/>
  </w:style>
  <w:style w:type="character" w:styleId="11">
    <w:name w:val="page number"/>
    <w:basedOn w:val="8"/>
    <w:uiPriority w:val="99"/>
  </w:style>
  <w:style w:type="character" w:customStyle="1" w:styleId="12">
    <w:name w:val="Heading 3 Char"/>
    <w:basedOn w:val="8"/>
    <w:link w:val="2"/>
    <w:qFormat/>
    <w:locked/>
    <w:uiPriority w:val="99"/>
    <w:rPr>
      <w:rFonts w:ascii="宋体" w:hAnsi="宋体" w:eastAsia="宋体" w:cs="宋体"/>
      <w:b/>
      <w:bCs/>
      <w:kern w:val="0"/>
      <w:sz w:val="27"/>
      <w:szCs w:val="27"/>
    </w:rPr>
  </w:style>
  <w:style w:type="character" w:customStyle="1" w:styleId="13">
    <w:name w:val="Footer Char"/>
    <w:basedOn w:val="8"/>
    <w:link w:val="3"/>
    <w:locked/>
    <w:uiPriority w:val="99"/>
    <w:rPr>
      <w:rFonts w:ascii="Times New Roman" w:hAnsi="Times New Roman" w:eastAsia="宋体" w:cs="Times New Roman"/>
      <w:sz w:val="18"/>
      <w:szCs w:val="18"/>
    </w:rPr>
  </w:style>
  <w:style w:type="paragraph" w:customStyle="1" w:styleId="14">
    <w:name w:val="Char Char Char Char Char Char Char Char Char Char"/>
    <w:basedOn w:val="1"/>
    <w:qFormat/>
    <w:uiPriority w:val="99"/>
    <w:rPr>
      <w:rFonts w:ascii="Calibri" w:hAnsi="Calibri" w:cs="Calibri"/>
    </w:rPr>
  </w:style>
  <w:style w:type="character" w:customStyle="1" w:styleId="15">
    <w:name w:val="Header Char"/>
    <w:basedOn w:val="8"/>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29</Pages>
  <Words>2827</Words>
  <Characters>16119</Characters>
  <Lines>0</Lines>
  <Paragraphs>0</Paragraphs>
  <TotalTime>82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2019-06-05T13:06:00Z</dcterms:created>
  <dc:creator>User</dc:creator>
  <cp:lastModifiedBy>xzz^*^</cp:lastModifiedBy>
  <cp:lastPrinted>2023-04-04T05:43:52Z</cp:lastPrinted>
  <dcterms:modified xsi:type="dcterms:W3CDTF">2023-04-04T08:24:30Z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