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 w:eastAsia="方正小标宋简体"/>
          <w:color w:val="000000"/>
          <w:sz w:val="36"/>
          <w:szCs w:val="36"/>
        </w:rPr>
      </w:pPr>
      <w:r>
        <w:rPr>
          <w:rFonts w:hint="eastAsia" w:ascii="方正小标宋简体" w:hAnsi="仿宋" w:eastAsia="方正小标宋简体" w:cs="方正小标宋简体"/>
          <w:color w:val="000000"/>
          <w:sz w:val="36"/>
          <w:szCs w:val="36"/>
        </w:rPr>
        <w:t>宝鸡高新区市场监管领域联合随机抽查事项清单（</w:t>
      </w:r>
      <w:r>
        <w:rPr>
          <w:rFonts w:hint="eastAsia" w:ascii="方正小标宋简体" w:hAnsi="仿宋" w:eastAsia="方正小标宋简体" w:cs="方正小标宋简体"/>
          <w:color w:val="000000"/>
          <w:sz w:val="36"/>
          <w:szCs w:val="36"/>
          <w:lang w:eastAsia="zh-CN"/>
        </w:rPr>
        <w:t>第一版</w:t>
      </w:r>
      <w:r>
        <w:rPr>
          <w:rFonts w:hint="eastAsia" w:ascii="方正小标宋简体" w:hAnsi="仿宋" w:eastAsia="方正小标宋简体" w:cs="方正小标宋简体"/>
          <w:color w:val="000000"/>
          <w:sz w:val="36"/>
          <w:szCs w:val="36"/>
        </w:rPr>
        <w:t>）</w:t>
      </w:r>
    </w:p>
    <w:tbl>
      <w:tblPr>
        <w:tblStyle w:val="6"/>
        <w:tblW w:w="14962"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2"/>
        <w:gridCol w:w="1228"/>
        <w:gridCol w:w="3568"/>
        <w:gridCol w:w="1283"/>
        <w:gridCol w:w="1283"/>
        <w:gridCol w:w="1267"/>
        <w:gridCol w:w="4407"/>
        <w:gridCol w:w="12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5" w:hRule="atLeast"/>
        </w:trPr>
        <w:tc>
          <w:tcPr>
            <w:tcW w:w="702" w:type="dxa"/>
            <w:vAlign w:val="center"/>
          </w:tcPr>
          <w:p>
            <w:pPr>
              <w:kinsoku w:val="0"/>
              <w:overflowPunct w:val="0"/>
              <w:autoSpaceDE w:val="0"/>
              <w:autoSpaceDN w:val="0"/>
              <w:adjustRightInd w:val="0"/>
              <w:snapToGrid w:val="0"/>
              <w:spacing w:line="36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1</w:t>
            </w:r>
          </w:p>
        </w:tc>
        <w:tc>
          <w:tcPr>
            <w:tcW w:w="1228" w:type="dxa"/>
            <w:vAlign w:val="center"/>
          </w:tcPr>
          <w:p>
            <w:pPr>
              <w:kinsoku w:val="0"/>
              <w:overflowPunct w:val="0"/>
              <w:autoSpaceDE w:val="0"/>
              <w:autoSpaceDN w:val="0"/>
              <w:adjustRightInd w:val="0"/>
              <w:snapToGrid w:val="0"/>
              <w:spacing w:line="380" w:lineRule="exact"/>
              <w:rPr>
                <w:rFonts w:ascii="仿宋_GB2312" w:eastAsia="仿宋_GB2312"/>
                <w:color w:val="000000"/>
                <w:spacing w:val="-20"/>
                <w:kern w:val="0"/>
                <w:sz w:val="24"/>
                <w:szCs w:val="24"/>
              </w:rPr>
            </w:pPr>
            <w:r>
              <w:rPr>
                <w:rFonts w:hint="eastAsia" w:ascii="仿宋_GB2312" w:eastAsia="仿宋_GB2312" w:cs="仿宋_GB2312"/>
                <w:color w:val="000000"/>
                <w:spacing w:val="-20"/>
                <w:sz w:val="24"/>
                <w:szCs w:val="24"/>
              </w:rPr>
              <w:t>粮食流通市场监督检查</w:t>
            </w:r>
          </w:p>
        </w:tc>
        <w:tc>
          <w:tcPr>
            <w:tcW w:w="3568" w:type="dxa"/>
            <w:vAlign w:val="center"/>
          </w:tcPr>
          <w:p>
            <w:pPr>
              <w:kinsoku w:val="0"/>
              <w:overflowPunct w:val="0"/>
              <w:autoSpaceDE w:val="0"/>
              <w:autoSpaceDN w:val="0"/>
              <w:adjustRightInd w:val="0"/>
              <w:snapToGrid w:val="0"/>
              <w:spacing w:line="380" w:lineRule="exact"/>
              <w:rPr>
                <w:rFonts w:ascii="仿宋_GB2312" w:eastAsia="仿宋_GB2312"/>
                <w:color w:val="FF0000"/>
                <w:spacing w:val="-20"/>
                <w:kern w:val="0"/>
                <w:sz w:val="24"/>
                <w:szCs w:val="24"/>
              </w:rPr>
            </w:pPr>
            <w:r>
              <w:rPr>
                <w:rFonts w:hint="eastAsia" w:ascii="仿宋_GB2312" w:hAnsi="仿宋" w:eastAsia="仿宋_GB2312" w:cs="仿宋_GB2312"/>
                <w:color w:val="000000"/>
                <w:spacing w:val="-20"/>
                <w:sz w:val="24"/>
                <w:szCs w:val="24"/>
              </w:rPr>
              <w:t>粮食收购</w:t>
            </w:r>
            <w:r>
              <w:rPr>
                <w:rFonts w:hint="eastAsia" w:ascii="仿宋_GB2312" w:eastAsia="仿宋_GB2312" w:cs="仿宋_GB2312"/>
                <w:color w:val="000000"/>
                <w:spacing w:val="-20"/>
                <w:sz w:val="24"/>
                <w:szCs w:val="24"/>
              </w:rPr>
              <w:t>政策及“五要五不准”收购守则执行情况检查、粮食质量标准执行情况检查、粮食仓储设施检查、经营台账及统计制度执行情况检查等。</w:t>
            </w:r>
          </w:p>
        </w:tc>
        <w:tc>
          <w:tcPr>
            <w:tcW w:w="1283" w:type="dxa"/>
            <w:vAlign w:val="center"/>
          </w:tcPr>
          <w:p>
            <w:pPr>
              <w:kinsoku w:val="0"/>
              <w:overflowPunct w:val="0"/>
              <w:autoSpaceDE w:val="0"/>
              <w:autoSpaceDN w:val="0"/>
              <w:adjustRightInd w:val="0"/>
              <w:snapToGrid w:val="0"/>
              <w:spacing w:line="36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粮食经营企业</w:t>
            </w:r>
          </w:p>
        </w:tc>
        <w:tc>
          <w:tcPr>
            <w:tcW w:w="1283" w:type="dxa"/>
            <w:vAlign w:val="center"/>
          </w:tcPr>
          <w:p>
            <w:pPr>
              <w:kinsoku w:val="0"/>
              <w:overflowPunct w:val="0"/>
              <w:autoSpaceDE w:val="0"/>
              <w:autoSpaceDN w:val="0"/>
              <w:adjustRightInd w:val="0"/>
              <w:snapToGrid w:val="0"/>
              <w:spacing w:line="36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一般</w:t>
            </w:r>
          </w:p>
          <w:p>
            <w:pPr>
              <w:kinsoku w:val="0"/>
              <w:overflowPunct w:val="0"/>
              <w:autoSpaceDE w:val="0"/>
              <w:autoSpaceDN w:val="0"/>
              <w:adjustRightInd w:val="0"/>
              <w:snapToGrid w:val="0"/>
              <w:spacing w:line="36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检查事项</w:t>
            </w:r>
          </w:p>
        </w:tc>
        <w:tc>
          <w:tcPr>
            <w:tcW w:w="1267" w:type="dxa"/>
            <w:vAlign w:val="center"/>
          </w:tcPr>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书面检查、</w:t>
            </w:r>
          </w:p>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实地核查</w:t>
            </w:r>
          </w:p>
        </w:tc>
        <w:tc>
          <w:tcPr>
            <w:tcW w:w="4407" w:type="dxa"/>
            <w:vAlign w:val="center"/>
          </w:tcPr>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r>
              <w:rPr>
                <w:rFonts w:hint="eastAsia" w:ascii="仿宋_GB2312" w:eastAsia="仿宋_GB2312" w:cs="仿宋_GB2312"/>
                <w:color w:val="000000"/>
                <w:spacing w:val="-23"/>
                <w:sz w:val="24"/>
                <w:szCs w:val="24"/>
              </w:rPr>
              <w:t>《粮食流通管理条例》第</w:t>
            </w:r>
            <w:r>
              <w:rPr>
                <w:rFonts w:hint="eastAsia" w:ascii="仿宋_GB2312" w:eastAsia="仿宋_GB2312" w:cs="仿宋_GB2312"/>
                <w:color w:val="000000"/>
                <w:spacing w:val="-20"/>
                <w:sz w:val="24"/>
                <w:szCs w:val="24"/>
              </w:rPr>
              <w:t>九、十、十一、十三、十六、二十三、</w:t>
            </w:r>
            <w:r>
              <w:rPr>
                <w:rFonts w:hint="eastAsia" w:ascii="仿宋_GB2312" w:eastAsia="仿宋_GB2312" w:cs="仿宋_GB2312"/>
                <w:color w:val="000000"/>
                <w:spacing w:val="-23"/>
                <w:sz w:val="24"/>
                <w:szCs w:val="24"/>
              </w:rPr>
              <w:t>三十八</w:t>
            </w:r>
            <w:r>
              <w:rPr>
                <w:rFonts w:hint="eastAsia" w:ascii="仿宋_GB2312" w:eastAsia="仿宋_GB2312" w:cs="仿宋_GB2312"/>
                <w:color w:val="000000"/>
                <w:spacing w:val="-20"/>
                <w:sz w:val="24"/>
                <w:szCs w:val="24"/>
              </w:rPr>
              <w:t>、</w:t>
            </w:r>
            <w:r>
              <w:rPr>
                <w:rFonts w:hint="eastAsia" w:ascii="仿宋_GB2312" w:eastAsia="仿宋_GB2312" w:cs="仿宋_GB2312"/>
                <w:color w:val="000000"/>
                <w:spacing w:val="-23"/>
                <w:sz w:val="24"/>
                <w:szCs w:val="24"/>
              </w:rPr>
              <w:t>三十九条；</w:t>
            </w:r>
            <w:r>
              <w:rPr>
                <w:rFonts w:hint="eastAsia" w:ascii="仿宋_GB2312" w:eastAsia="仿宋_GB2312" w:cs="仿宋_GB2312"/>
                <w:color w:val="000000"/>
                <w:spacing w:val="-20"/>
                <w:sz w:val="24"/>
                <w:szCs w:val="24"/>
              </w:rPr>
              <w:t>《粮油仓储管理办法》；《粮食质量安全监管办法》</w:t>
            </w:r>
            <w:r>
              <w:rPr>
                <w:rFonts w:hint="eastAsia" w:ascii="仿宋_GB2312" w:eastAsia="仿宋_GB2312" w:cs="仿宋_GB2312"/>
                <w:color w:val="000000"/>
                <w:spacing w:val="-23"/>
                <w:sz w:val="24"/>
                <w:szCs w:val="24"/>
              </w:rPr>
              <w:t>；《陕西省粮食流通监督检查实施办法》</w:t>
            </w:r>
          </w:p>
        </w:tc>
        <w:tc>
          <w:tcPr>
            <w:tcW w:w="1224" w:type="dxa"/>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经济发展局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eastAsia" w:ascii="仿宋_GB2312" w:hAnsi="黑体" w:eastAsia="仿宋_GB2312" w:cs="仿宋_GB2312"/>
                <w:color w:val="000000"/>
                <w:spacing w:val="-20"/>
                <w:kern w:val="0"/>
                <w:sz w:val="24"/>
                <w:szCs w:val="24"/>
                <w:lang w:eastAsia="zh-CN"/>
              </w:rPr>
            </w:pPr>
            <w:r>
              <w:rPr>
                <w:rFonts w:hint="eastAsia" w:ascii="仿宋_GB2312" w:hAnsi="黑体" w:eastAsia="仿宋_GB2312" w:cs="仿宋_GB2312"/>
                <w:color w:val="000000"/>
                <w:spacing w:val="-20"/>
                <w:kern w:val="0"/>
                <w:sz w:val="24"/>
                <w:szCs w:val="24"/>
                <w:lang w:val="en-US" w:eastAsia="zh-CN"/>
              </w:rPr>
              <w:t>2</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宋体" w:eastAsia="仿宋_GB2312"/>
                <w:color w:val="000000"/>
                <w:spacing w:val="-20"/>
                <w:sz w:val="24"/>
                <w:szCs w:val="24"/>
              </w:rPr>
            </w:pPr>
            <w:r>
              <w:rPr>
                <w:rFonts w:hint="eastAsia" w:ascii="仿宋_GB2312" w:hAnsi="宋体" w:eastAsia="仿宋_GB2312" w:cs="仿宋_GB2312"/>
                <w:color w:val="000000"/>
                <w:spacing w:val="-20"/>
                <w:sz w:val="24"/>
                <w:szCs w:val="24"/>
              </w:rPr>
              <w:t>民办学校办学行为监督检查</w:t>
            </w:r>
          </w:p>
        </w:tc>
        <w:tc>
          <w:tcPr>
            <w:tcW w:w="3568" w:type="dxa"/>
            <w:vAlign w:val="center"/>
          </w:tcPr>
          <w:p>
            <w:pPr>
              <w:kinsoku w:val="0"/>
              <w:overflowPunct w:val="0"/>
              <w:autoSpaceDE w:val="0"/>
              <w:autoSpaceDN w:val="0"/>
              <w:adjustRightInd w:val="0"/>
              <w:snapToGrid w:val="0"/>
              <w:spacing w:line="360" w:lineRule="exact"/>
              <w:rPr>
                <w:rFonts w:ascii="仿宋_GB2312" w:hAnsi="宋体" w:eastAsia="仿宋_GB2312"/>
                <w:color w:val="000000"/>
                <w:spacing w:val="-20"/>
                <w:sz w:val="24"/>
                <w:szCs w:val="24"/>
              </w:rPr>
            </w:pPr>
            <w:r>
              <w:rPr>
                <w:rFonts w:hint="eastAsia" w:ascii="仿宋_GB2312" w:hAnsi="宋体" w:eastAsia="仿宋_GB2312" w:cs="仿宋_GB2312"/>
                <w:color w:val="000000"/>
                <w:spacing w:val="-20"/>
                <w:sz w:val="24"/>
                <w:szCs w:val="24"/>
              </w:rPr>
              <w:t>遵守国家法律、法规和执行政策和党团组织建设情况监督检查</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民办学校</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一般</w:t>
            </w:r>
          </w:p>
          <w:p>
            <w:pPr>
              <w:kinsoku w:val="0"/>
              <w:overflowPunct w:val="0"/>
              <w:autoSpaceDE w:val="0"/>
              <w:autoSpaceDN w:val="0"/>
              <w:adjustRightInd w:val="0"/>
              <w:snapToGrid w:val="0"/>
              <w:spacing w:line="360" w:lineRule="exact"/>
              <w:jc w:val="center"/>
              <w:rPr>
                <w:rFonts w:ascii="仿宋_GB2312" w:hAnsi="宋体" w:eastAsia="仿宋_GB2312"/>
                <w:color w:val="000000"/>
                <w:spacing w:val="-20"/>
                <w:sz w:val="24"/>
                <w:szCs w:val="24"/>
              </w:rPr>
            </w:pPr>
            <w:r>
              <w:rPr>
                <w:rFonts w:hint="eastAsia" w:ascii="仿宋_GB2312" w:eastAsia="仿宋_GB2312" w:cs="仿宋_GB2312"/>
                <w:color w:val="000000"/>
                <w:spacing w:val="-20"/>
                <w:sz w:val="24"/>
                <w:szCs w:val="24"/>
              </w:rPr>
              <w:t>检查事项</w:t>
            </w:r>
          </w:p>
        </w:tc>
        <w:tc>
          <w:tcPr>
            <w:tcW w:w="1267" w:type="dxa"/>
            <w:vMerge w:val="restart"/>
            <w:vAlign w:val="center"/>
          </w:tcPr>
          <w:p>
            <w:pPr>
              <w:kinsoku w:val="0"/>
              <w:overflowPunct w:val="0"/>
              <w:autoSpaceDE w:val="0"/>
              <w:autoSpaceDN w:val="0"/>
              <w:adjustRightInd w:val="0"/>
              <w:snapToGrid w:val="0"/>
              <w:spacing w:line="360" w:lineRule="exact"/>
              <w:rPr>
                <w:rFonts w:ascii="仿宋_GB2312" w:hAnsi="宋体" w:eastAsia="仿宋_GB2312"/>
                <w:color w:val="000000"/>
                <w:spacing w:val="-20"/>
                <w:sz w:val="24"/>
                <w:szCs w:val="24"/>
              </w:rPr>
            </w:pPr>
            <w:r>
              <w:rPr>
                <w:rFonts w:hint="eastAsia" w:ascii="仿宋_GB2312" w:eastAsia="仿宋_GB2312" w:cs="仿宋_GB2312"/>
                <w:color w:val="000000"/>
                <w:spacing w:val="-20"/>
                <w:sz w:val="24"/>
                <w:szCs w:val="24"/>
              </w:rPr>
              <w:t>书面检查、实地核查</w:t>
            </w:r>
          </w:p>
        </w:tc>
        <w:tc>
          <w:tcPr>
            <w:tcW w:w="4407" w:type="dxa"/>
            <w:vAlign w:val="center"/>
          </w:tcPr>
          <w:p>
            <w:pPr>
              <w:kinsoku w:val="0"/>
              <w:overflowPunct w:val="0"/>
              <w:autoSpaceDE w:val="0"/>
              <w:autoSpaceDN w:val="0"/>
              <w:adjustRightInd w:val="0"/>
              <w:snapToGrid w:val="0"/>
              <w:spacing w:line="360" w:lineRule="exact"/>
              <w:rPr>
                <w:rFonts w:ascii="仿宋_GB2312" w:hAnsi="宋体" w:eastAsia="仿宋_GB2312"/>
                <w:color w:val="000000"/>
                <w:spacing w:val="-20"/>
                <w:sz w:val="24"/>
                <w:szCs w:val="24"/>
              </w:rPr>
            </w:pPr>
            <w:r>
              <w:rPr>
                <w:rFonts w:hint="eastAsia" w:ascii="仿宋_GB2312" w:hAnsi="宋体" w:eastAsia="仿宋_GB2312" w:cs="仿宋_GB2312"/>
                <w:color w:val="000000"/>
                <w:spacing w:val="-20"/>
                <w:sz w:val="24"/>
                <w:szCs w:val="24"/>
              </w:rPr>
              <w:t>《民办教育促进法》第四条、第九条；《营利性民办学校监督管理实施细则》第三条、第二十条</w:t>
            </w:r>
          </w:p>
        </w:tc>
        <w:tc>
          <w:tcPr>
            <w:tcW w:w="1224" w:type="dxa"/>
            <w:vMerge w:val="restart"/>
            <w:vAlign w:val="center"/>
          </w:tcPr>
          <w:p>
            <w:pPr>
              <w:jc w:val="center"/>
              <w:rPr>
                <w:rFonts w:ascii="宋体"/>
                <w:b/>
                <w:bCs/>
                <w:color w:val="000000"/>
                <w:sz w:val="24"/>
                <w:szCs w:val="24"/>
              </w:rPr>
            </w:pPr>
            <w:r>
              <w:rPr>
                <w:rFonts w:hint="eastAsia" w:ascii="仿宋_GB2312" w:eastAsia="仿宋_GB2312" w:cs="仿宋_GB2312"/>
                <w:color w:val="000000"/>
                <w:spacing w:val="-20"/>
                <w:sz w:val="24"/>
                <w:szCs w:val="24"/>
              </w:rPr>
              <w:t>教育体育局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黑体"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宋体" w:eastAsia="仿宋_GB2312"/>
                <w:color w:val="000000"/>
                <w:spacing w:val="-20"/>
                <w:sz w:val="24"/>
                <w:szCs w:val="24"/>
              </w:rPr>
            </w:pPr>
            <w:r>
              <w:rPr>
                <w:rFonts w:hint="eastAsia" w:ascii="仿宋_GB2312" w:hAnsi="宋体" w:eastAsia="仿宋_GB2312" w:cs="仿宋_GB2312"/>
                <w:color w:val="000000"/>
                <w:spacing w:val="-20"/>
                <w:sz w:val="24"/>
                <w:szCs w:val="24"/>
              </w:rPr>
              <w:t>办学条件（包括教学基础条件、教学经费投入等）符合设置标准情况监督检查</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eastAsia="仿宋_GB2312"/>
                <w:color w:val="000000"/>
                <w:spacing w:val="-20"/>
                <w:sz w:val="24"/>
                <w:szCs w:val="24"/>
              </w:rPr>
            </w:pP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宋体" w:eastAsia="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r>
              <w:rPr>
                <w:rFonts w:hint="eastAsia" w:ascii="仿宋_GB2312" w:hAnsi="宋体" w:eastAsia="仿宋_GB2312" w:cs="仿宋_GB2312"/>
                <w:color w:val="000000"/>
                <w:spacing w:val="-20"/>
                <w:sz w:val="24"/>
                <w:szCs w:val="24"/>
              </w:rPr>
              <w:t>《民办教育促进法》第十一条；《营利性民办学校监督管理实施细则》第五条、第六条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黑体"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宋体" w:eastAsia="仿宋_GB2312"/>
                <w:color w:val="000000"/>
                <w:spacing w:val="-20"/>
                <w:sz w:val="24"/>
                <w:szCs w:val="24"/>
              </w:rPr>
            </w:pPr>
            <w:r>
              <w:rPr>
                <w:rFonts w:hint="eastAsia" w:ascii="仿宋_GB2312" w:hAnsi="宋体" w:eastAsia="仿宋_GB2312" w:cs="仿宋_GB2312"/>
                <w:color w:val="000000"/>
                <w:spacing w:val="-20"/>
                <w:sz w:val="24"/>
                <w:szCs w:val="24"/>
              </w:rPr>
              <w:t>按照学校章程开展活动及决策机构、校长履职情况、内部管理机构设置和人员配备情况</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eastAsia="仿宋_GB2312"/>
                <w:color w:val="000000"/>
                <w:spacing w:val="-20"/>
                <w:sz w:val="24"/>
                <w:szCs w:val="24"/>
              </w:rPr>
            </w:pP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宋体" w:eastAsia="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《民办教育促进法》第二十条、二十一条、二十二条、二十五条；《民办教育促进法实施条例》第十九条、第二十条、第二十一条；《营利性民办学校监督管理实施细则》第十八条、第十九条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3"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黑体"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jc w:val="center"/>
              <w:rPr>
                <w:rFonts w:ascii="仿宋_GB2312" w:eastAsia="仿宋_GB2312"/>
                <w:color w:val="000000"/>
                <w:spacing w:val="-20"/>
                <w:sz w:val="24"/>
                <w:szCs w:val="24"/>
              </w:rPr>
            </w:pPr>
          </w:p>
        </w:tc>
        <w:tc>
          <w:tcPr>
            <w:tcW w:w="3568" w:type="dxa"/>
            <w:vAlign w:val="center"/>
          </w:tcPr>
          <w:p>
            <w:pPr>
              <w:kinsoku w:val="0"/>
              <w:overflowPunct w:val="0"/>
              <w:autoSpaceDE w:val="0"/>
              <w:autoSpaceDN w:val="0"/>
              <w:adjustRightInd w:val="0"/>
              <w:snapToGrid w:val="0"/>
              <w:spacing w:line="360" w:lineRule="exact"/>
              <w:rPr>
                <w:rFonts w:hint="eastAsia" w:ascii="仿宋_GB2312" w:hAnsi="宋体" w:eastAsia="仿宋_GB2312" w:cs="仿宋_GB2312"/>
                <w:color w:val="000000"/>
                <w:spacing w:val="-20"/>
                <w:sz w:val="24"/>
                <w:szCs w:val="24"/>
              </w:rPr>
            </w:pPr>
            <w:r>
              <w:rPr>
                <w:rFonts w:hint="eastAsia" w:ascii="仿宋_GB2312" w:hAnsi="宋体" w:eastAsia="仿宋_GB2312" w:cs="仿宋_GB2312"/>
                <w:color w:val="000000"/>
                <w:spacing w:val="-20"/>
                <w:sz w:val="24"/>
                <w:szCs w:val="24"/>
              </w:rPr>
              <w:t>民办学校办学许可证事项的监督检查</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eastAsia="仿宋_GB2312"/>
                <w:color w:val="000000"/>
                <w:spacing w:val="-20"/>
                <w:sz w:val="24"/>
                <w:szCs w:val="24"/>
              </w:rPr>
            </w:pP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宋体" w:eastAsia="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360" w:lineRule="exact"/>
              <w:rPr>
                <w:rFonts w:ascii="仿宋_GB2312" w:eastAsia="仿宋_GB2312"/>
                <w:color w:val="000000"/>
                <w:spacing w:val="-22"/>
                <w:sz w:val="24"/>
                <w:szCs w:val="24"/>
              </w:rPr>
            </w:pPr>
            <w:r>
              <w:rPr>
                <w:rFonts w:hint="eastAsia" w:ascii="仿宋_GB2312" w:eastAsia="仿宋_GB2312" w:cs="仿宋_GB2312"/>
                <w:color w:val="000000"/>
                <w:spacing w:val="-22"/>
                <w:sz w:val="24"/>
                <w:szCs w:val="24"/>
              </w:rPr>
              <w:t>《民办教育促进法》第五十三条、五十四条、五十五条、第六十二条；《营利性民办学校监督管理实施细则》第三十七条、四十七条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黑体"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jc w:val="center"/>
              <w:rPr>
                <w:rFonts w:ascii="仿宋_GB2312" w:eastAsia="仿宋_GB2312"/>
                <w:color w:val="000000"/>
                <w:spacing w:val="-2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宋体" w:eastAsia="仿宋_GB2312"/>
                <w:color w:val="000000"/>
                <w:spacing w:val="-20"/>
                <w:sz w:val="24"/>
                <w:szCs w:val="24"/>
              </w:rPr>
            </w:pPr>
            <w:r>
              <w:rPr>
                <w:rFonts w:hint="eastAsia" w:ascii="仿宋_GB2312" w:hAnsi="宋体" w:eastAsia="仿宋_GB2312" w:cs="仿宋_GB2312"/>
                <w:color w:val="000000"/>
                <w:spacing w:val="-20"/>
                <w:sz w:val="24"/>
                <w:szCs w:val="24"/>
              </w:rPr>
              <w:t>民办学校依法聘任和使用教职工情况的监督检查</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eastAsia="仿宋_GB2312"/>
                <w:color w:val="000000"/>
                <w:spacing w:val="-20"/>
                <w:sz w:val="24"/>
                <w:szCs w:val="24"/>
              </w:rPr>
            </w:pP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宋体" w:eastAsia="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360" w:lineRule="exact"/>
              <w:rPr>
                <w:rFonts w:ascii="仿宋_GB2312" w:hAnsi="宋体" w:eastAsia="仿宋_GB2312"/>
                <w:color w:val="000000"/>
                <w:spacing w:val="-20"/>
                <w:sz w:val="24"/>
                <w:szCs w:val="24"/>
              </w:rPr>
            </w:pPr>
            <w:r>
              <w:rPr>
                <w:rFonts w:hint="eastAsia" w:ascii="仿宋_GB2312" w:hAnsi="宋体" w:eastAsia="仿宋_GB2312" w:cs="仿宋_GB2312"/>
                <w:color w:val="000000"/>
                <w:spacing w:val="-20"/>
                <w:sz w:val="24"/>
                <w:szCs w:val="24"/>
              </w:rPr>
              <w:t>《民办教育促进法》第二十九条、第三十一条；《民办教育促进法实施条例》第二十三条、第二十四条；《营利性民办学校监督管理实施细则》第二十五条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5" w:hRule="atLeast"/>
        </w:trPr>
        <w:tc>
          <w:tcPr>
            <w:tcW w:w="702" w:type="dxa"/>
            <w:vAlign w:val="center"/>
          </w:tcPr>
          <w:p>
            <w:pPr>
              <w:kinsoku w:val="0"/>
              <w:overflowPunct w:val="0"/>
              <w:autoSpaceDE w:val="0"/>
              <w:autoSpaceDN w:val="0"/>
              <w:adjustRightInd w:val="0"/>
              <w:snapToGrid w:val="0"/>
              <w:spacing w:line="320" w:lineRule="exact"/>
              <w:jc w:val="center"/>
              <w:rPr>
                <w:rFonts w:hint="eastAsia" w:ascii="仿宋_GB2312" w:hAnsi="仿宋_GB2312" w:eastAsia="仿宋_GB2312"/>
                <w:color w:val="000000"/>
                <w:spacing w:val="-28"/>
                <w:sz w:val="24"/>
                <w:szCs w:val="24"/>
                <w:lang w:eastAsia="zh-CN"/>
              </w:rPr>
            </w:pPr>
            <w:r>
              <w:rPr>
                <w:rFonts w:hint="eastAsia" w:ascii="仿宋_GB2312" w:hAnsi="仿宋_GB2312" w:eastAsia="仿宋_GB2312" w:cs="仿宋_GB2312"/>
                <w:color w:val="000000"/>
                <w:spacing w:val="-28"/>
                <w:sz w:val="24"/>
                <w:szCs w:val="24"/>
                <w:lang w:val="en-US" w:eastAsia="zh-CN"/>
              </w:rPr>
              <w:t>3</w:t>
            </w:r>
          </w:p>
        </w:tc>
        <w:tc>
          <w:tcPr>
            <w:tcW w:w="1228" w:type="dxa"/>
            <w:vAlign w:val="center"/>
          </w:tcPr>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r>
              <w:rPr>
                <w:rFonts w:hint="eastAsia" w:ascii="仿宋_GB2312" w:hAnsi="仿宋_GB2312" w:eastAsia="仿宋_GB2312" w:cs="仿宋_GB2312"/>
                <w:color w:val="000000"/>
                <w:spacing w:val="-28"/>
                <w:sz w:val="24"/>
                <w:szCs w:val="24"/>
              </w:rPr>
              <w:t>对经营高危险性体育项目的监督检查</w:t>
            </w:r>
          </w:p>
        </w:tc>
        <w:tc>
          <w:tcPr>
            <w:tcW w:w="3568" w:type="dxa"/>
            <w:vAlign w:val="center"/>
          </w:tcPr>
          <w:p>
            <w:pPr>
              <w:kinsoku w:val="0"/>
              <w:overflowPunct w:val="0"/>
              <w:autoSpaceDE w:val="0"/>
              <w:autoSpaceDN w:val="0"/>
              <w:adjustRightInd w:val="0"/>
              <w:snapToGrid w:val="0"/>
              <w:spacing w:line="320" w:lineRule="exact"/>
              <w:rPr>
                <w:rFonts w:hint="default" w:ascii="仿宋_GB2312" w:hAnsi="仿宋_GB2312" w:eastAsia="仿宋_GB2312"/>
                <w:color w:val="000000"/>
                <w:spacing w:val="-28"/>
                <w:sz w:val="24"/>
                <w:szCs w:val="24"/>
                <w:lang w:val="en-US" w:eastAsia="zh-CN"/>
              </w:rPr>
            </w:pPr>
            <w:r>
              <w:rPr>
                <w:rFonts w:hint="eastAsia" w:ascii="仿宋_GB2312" w:hAnsi="仿宋_GB2312" w:eastAsia="仿宋_GB2312" w:cs="仿宋_GB2312"/>
                <w:color w:val="000000"/>
                <w:spacing w:val="-28"/>
                <w:sz w:val="24"/>
                <w:szCs w:val="24"/>
              </w:rPr>
              <w:t>对经营高危险性体育项目的监督检查</w:t>
            </w:r>
            <w:r>
              <w:rPr>
                <w:rFonts w:hint="eastAsia" w:ascii="仿宋_GB2312" w:hAnsi="仿宋_GB2312" w:eastAsia="仿宋_GB2312" w:cs="仿宋_GB2312"/>
                <w:color w:val="000000"/>
                <w:spacing w:val="-28"/>
                <w:sz w:val="24"/>
                <w:szCs w:val="24"/>
                <w:lang w:val="en-US" w:eastAsia="zh-CN"/>
              </w:rPr>
              <w:t xml:space="preserve">                                                                                                                                                                                                                                                                                                                                                                                 </w:t>
            </w:r>
          </w:p>
        </w:tc>
        <w:tc>
          <w:tcPr>
            <w:tcW w:w="1283" w:type="dxa"/>
            <w:vAlign w:val="center"/>
          </w:tcPr>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r>
              <w:rPr>
                <w:rFonts w:hint="eastAsia" w:ascii="仿宋_GB2312" w:hAnsi="仿宋_GB2312" w:eastAsia="仿宋_GB2312" w:cs="仿宋_GB2312"/>
                <w:color w:val="000000"/>
                <w:spacing w:val="-28"/>
                <w:sz w:val="24"/>
                <w:szCs w:val="24"/>
              </w:rPr>
              <w:t>经营高危险性体育项目者</w:t>
            </w:r>
          </w:p>
        </w:tc>
        <w:tc>
          <w:tcPr>
            <w:tcW w:w="1283" w:type="dxa"/>
            <w:vAlign w:val="center"/>
          </w:tcPr>
          <w:p>
            <w:pPr>
              <w:kinsoku w:val="0"/>
              <w:overflowPunct w:val="0"/>
              <w:autoSpaceDE w:val="0"/>
              <w:autoSpaceDN w:val="0"/>
              <w:adjustRightInd w:val="0"/>
              <w:snapToGrid w:val="0"/>
              <w:spacing w:line="320" w:lineRule="exact"/>
              <w:jc w:val="center"/>
              <w:rPr>
                <w:rFonts w:ascii="仿宋_GB2312" w:hAnsi="仿宋_GB2312" w:eastAsia="仿宋_GB2312"/>
                <w:color w:val="000000"/>
                <w:spacing w:val="-28"/>
                <w:sz w:val="24"/>
                <w:szCs w:val="24"/>
              </w:rPr>
            </w:pPr>
            <w:r>
              <w:rPr>
                <w:rFonts w:hint="eastAsia" w:ascii="仿宋_GB2312" w:hAnsi="仿宋_GB2312" w:eastAsia="仿宋_GB2312" w:cs="仿宋_GB2312"/>
                <w:color w:val="000000"/>
                <w:spacing w:val="-28"/>
                <w:sz w:val="24"/>
                <w:szCs w:val="24"/>
              </w:rPr>
              <w:t>重点</w:t>
            </w:r>
          </w:p>
          <w:p>
            <w:pPr>
              <w:kinsoku w:val="0"/>
              <w:overflowPunct w:val="0"/>
              <w:autoSpaceDE w:val="0"/>
              <w:autoSpaceDN w:val="0"/>
              <w:adjustRightInd w:val="0"/>
              <w:snapToGrid w:val="0"/>
              <w:spacing w:line="320" w:lineRule="exact"/>
              <w:jc w:val="center"/>
              <w:rPr>
                <w:rFonts w:ascii="仿宋_GB2312" w:hAnsi="仿宋_GB2312" w:eastAsia="仿宋_GB2312"/>
                <w:color w:val="000000"/>
                <w:spacing w:val="-28"/>
                <w:sz w:val="24"/>
                <w:szCs w:val="24"/>
              </w:rPr>
            </w:pPr>
            <w:r>
              <w:rPr>
                <w:rFonts w:hint="eastAsia" w:ascii="仿宋_GB2312" w:hAnsi="仿宋_GB2312" w:eastAsia="仿宋_GB2312" w:cs="仿宋_GB2312"/>
                <w:color w:val="000000"/>
                <w:spacing w:val="-28"/>
                <w:sz w:val="24"/>
                <w:szCs w:val="24"/>
              </w:rPr>
              <w:t>检查事项</w:t>
            </w:r>
          </w:p>
        </w:tc>
        <w:tc>
          <w:tcPr>
            <w:tcW w:w="1267" w:type="dxa"/>
            <w:vAlign w:val="center"/>
          </w:tcPr>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r>
              <w:rPr>
                <w:rFonts w:hint="eastAsia" w:ascii="仿宋_GB2312" w:eastAsia="仿宋_GB2312" w:cs="仿宋_GB2312"/>
                <w:color w:val="000000"/>
                <w:spacing w:val="-20"/>
                <w:sz w:val="24"/>
                <w:szCs w:val="24"/>
              </w:rPr>
              <w:t>实地核查</w:t>
            </w:r>
          </w:p>
        </w:tc>
        <w:tc>
          <w:tcPr>
            <w:tcW w:w="4407" w:type="dxa"/>
            <w:vAlign w:val="center"/>
          </w:tcPr>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r>
              <w:rPr>
                <w:rFonts w:hint="eastAsia" w:ascii="仿宋_GB2312" w:hAnsi="仿宋_GB2312" w:eastAsia="仿宋_GB2312" w:cs="仿宋_GB2312"/>
                <w:color w:val="000000"/>
                <w:spacing w:val="-28"/>
                <w:sz w:val="24"/>
                <w:szCs w:val="24"/>
              </w:rPr>
              <w:t>《全民健身条例》第三十四条；《经营高危险性体育项目许可管理办法》</w:t>
            </w:r>
          </w:p>
        </w:tc>
        <w:tc>
          <w:tcPr>
            <w:tcW w:w="1224" w:type="dxa"/>
            <w:vAlign w:val="center"/>
          </w:tcPr>
          <w:p>
            <w:pPr>
              <w:jc w:val="center"/>
              <w:rPr>
                <w:rFonts w:ascii="宋体"/>
                <w:b/>
                <w:bCs/>
                <w:color w:val="000000"/>
                <w:sz w:val="24"/>
                <w:szCs w:val="24"/>
              </w:rPr>
            </w:pPr>
            <w:r>
              <w:rPr>
                <w:rFonts w:hint="eastAsia" w:ascii="仿宋_GB2312" w:hAnsi="仿宋_GB2312" w:eastAsia="仿宋_GB2312" w:cs="仿宋_GB2312"/>
                <w:color w:val="000000"/>
                <w:spacing w:val="-28"/>
                <w:sz w:val="24"/>
                <w:szCs w:val="24"/>
              </w:rPr>
              <w:t>教育体育局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4" w:hRule="atLeast"/>
        </w:trPr>
        <w:tc>
          <w:tcPr>
            <w:tcW w:w="702" w:type="dxa"/>
            <w:vAlign w:val="center"/>
          </w:tcPr>
          <w:p>
            <w:pPr>
              <w:kinsoku w:val="0"/>
              <w:overflowPunct w:val="0"/>
              <w:autoSpaceDE w:val="0"/>
              <w:autoSpaceDN w:val="0"/>
              <w:adjustRightInd w:val="0"/>
              <w:snapToGrid w:val="0"/>
              <w:spacing w:line="360" w:lineRule="exact"/>
              <w:jc w:val="center"/>
              <w:rPr>
                <w:rFonts w:hint="eastAsia" w:ascii="仿宋_GB2312" w:eastAsia="仿宋_GB2312" w:cs="仿宋_GB2312"/>
                <w:color w:val="000000"/>
                <w:spacing w:val="-20"/>
                <w:sz w:val="24"/>
                <w:szCs w:val="24"/>
                <w:lang w:eastAsia="zh-CN"/>
              </w:rPr>
            </w:pPr>
            <w:r>
              <w:rPr>
                <w:rFonts w:hint="eastAsia" w:ascii="仿宋_GB2312" w:eastAsia="仿宋_GB2312" w:cs="仿宋_GB2312"/>
                <w:color w:val="000000"/>
                <w:spacing w:val="-20"/>
                <w:sz w:val="24"/>
                <w:szCs w:val="24"/>
                <w:lang w:val="en-US" w:eastAsia="zh-CN"/>
              </w:rPr>
              <w:t>4</w:t>
            </w:r>
          </w:p>
        </w:tc>
        <w:tc>
          <w:tcPr>
            <w:tcW w:w="1228" w:type="dxa"/>
            <w:tcBorders>
              <w:right w:val="single" w:color="auto" w:sz="4" w:space="0"/>
            </w:tcBorders>
            <w:vAlign w:val="center"/>
          </w:tcPr>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r>
              <w:rPr>
                <w:rFonts w:hint="eastAsia" w:ascii="仿宋_GB2312" w:eastAsia="仿宋_GB2312" w:cs="仿宋_GB2312"/>
                <w:color w:val="000000"/>
                <w:spacing w:val="-20"/>
                <w:kern w:val="0"/>
                <w:sz w:val="24"/>
                <w:szCs w:val="24"/>
              </w:rPr>
              <w:t>卫生健康检查</w:t>
            </w:r>
          </w:p>
        </w:tc>
        <w:tc>
          <w:tcPr>
            <w:tcW w:w="3568" w:type="dxa"/>
            <w:tcBorders>
              <w:left w:val="single" w:color="auto" w:sz="4" w:space="0"/>
            </w:tcBorders>
            <w:vAlign w:val="center"/>
          </w:tcPr>
          <w:p>
            <w:pPr>
              <w:kinsoku w:val="0"/>
              <w:overflowPunct w:val="0"/>
              <w:autoSpaceDE w:val="0"/>
              <w:autoSpaceDN w:val="0"/>
              <w:adjustRightInd w:val="0"/>
              <w:snapToGrid w:val="0"/>
              <w:spacing w:line="360" w:lineRule="exact"/>
              <w:rPr>
                <w:rFonts w:ascii="仿宋_GB2312" w:eastAsia="仿宋_GB2312"/>
                <w:color w:val="FF0000"/>
                <w:spacing w:val="-20"/>
                <w:kern w:val="0"/>
                <w:sz w:val="24"/>
                <w:szCs w:val="24"/>
              </w:rPr>
            </w:pPr>
            <w:r>
              <w:rPr>
                <w:rFonts w:hint="eastAsia" w:ascii="仿宋_GB2312" w:eastAsia="仿宋_GB2312" w:cs="仿宋_GB2312"/>
                <w:color w:val="000000"/>
                <w:spacing w:val="-20"/>
                <w:sz w:val="24"/>
                <w:szCs w:val="24"/>
              </w:rPr>
              <w:t>影剧院、录像厅（室）、游艺厅（室）、舞厅、音乐厅取得、公示公共场所卫生许可证情况、卫生状况及卫生制度落实情况的检查</w:t>
            </w:r>
          </w:p>
        </w:tc>
        <w:tc>
          <w:tcPr>
            <w:tcW w:w="1283" w:type="dxa"/>
            <w:vAlign w:val="center"/>
          </w:tcPr>
          <w:p>
            <w:pPr>
              <w:kinsoku w:val="0"/>
              <w:overflowPunct w:val="0"/>
              <w:autoSpaceDE w:val="0"/>
              <w:autoSpaceDN w:val="0"/>
              <w:adjustRightInd w:val="0"/>
              <w:snapToGrid w:val="0"/>
              <w:spacing w:line="360" w:lineRule="exact"/>
              <w:jc w:val="lef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区管各类影剧院、</w:t>
            </w:r>
            <w:r>
              <w:rPr>
                <w:rFonts w:hint="eastAsia" w:ascii="仿宋_GB2312" w:eastAsia="仿宋_GB2312" w:cs="仿宋_GB2312"/>
                <w:color w:val="000000"/>
                <w:spacing w:val="-20"/>
                <w:sz w:val="24"/>
                <w:szCs w:val="24"/>
              </w:rPr>
              <w:t>录像厅（室）、游艺厅（室）、舞厅、音乐厅</w:t>
            </w:r>
          </w:p>
        </w:tc>
        <w:tc>
          <w:tcPr>
            <w:tcW w:w="1283" w:type="dxa"/>
            <w:vAlign w:val="center"/>
          </w:tcPr>
          <w:p>
            <w:pPr>
              <w:kinsoku w:val="0"/>
              <w:overflowPunct w:val="0"/>
              <w:autoSpaceDE w:val="0"/>
              <w:autoSpaceDN w:val="0"/>
              <w:adjustRightInd w:val="0"/>
              <w:snapToGrid w:val="0"/>
              <w:spacing w:line="360" w:lineRule="exact"/>
              <w:jc w:val="center"/>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一般</w:t>
            </w:r>
          </w:p>
          <w:p>
            <w:pPr>
              <w:kinsoku w:val="0"/>
              <w:overflowPunct w:val="0"/>
              <w:autoSpaceDE w:val="0"/>
              <w:autoSpaceDN w:val="0"/>
              <w:adjustRightInd w:val="0"/>
              <w:snapToGrid w:val="0"/>
              <w:spacing w:line="36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检查事项</w:t>
            </w:r>
          </w:p>
        </w:tc>
        <w:tc>
          <w:tcPr>
            <w:tcW w:w="1267" w:type="dxa"/>
            <w:vAlign w:val="center"/>
          </w:tcPr>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实地核查</w:t>
            </w:r>
          </w:p>
        </w:tc>
        <w:tc>
          <w:tcPr>
            <w:tcW w:w="4407" w:type="dxa"/>
            <w:vAlign w:val="center"/>
          </w:tcPr>
          <w:p>
            <w:pPr>
              <w:kinsoku w:val="0"/>
              <w:overflowPunct w:val="0"/>
              <w:autoSpaceDE w:val="0"/>
              <w:autoSpaceDN w:val="0"/>
              <w:adjustRightInd w:val="0"/>
              <w:snapToGrid w:val="0"/>
              <w:spacing w:line="360" w:lineRule="exact"/>
              <w:rPr>
                <w:rFonts w:ascii="仿宋_GB2312" w:eastAsia="仿宋_GB2312"/>
                <w:color w:val="000000"/>
                <w:spacing w:val="-28"/>
                <w:sz w:val="24"/>
                <w:szCs w:val="24"/>
              </w:rPr>
            </w:pPr>
            <w:r>
              <w:rPr>
                <w:rFonts w:hint="eastAsia" w:ascii="仿宋_GB2312" w:eastAsia="仿宋_GB2312" w:cs="仿宋_GB2312"/>
                <w:color w:val="000000"/>
                <w:spacing w:val="-20"/>
                <w:sz w:val="24"/>
                <w:szCs w:val="24"/>
              </w:rPr>
              <w:t>《公共场所卫生管理条例》、《公共场所卫生管理条例实施细则》</w:t>
            </w:r>
          </w:p>
        </w:tc>
        <w:tc>
          <w:tcPr>
            <w:tcW w:w="1224" w:type="dxa"/>
            <w:vAlign w:val="center"/>
          </w:tcPr>
          <w:p>
            <w:pPr>
              <w:jc w:val="center"/>
              <w:rPr>
                <w:rFonts w:ascii="宋体" w:cs="宋体"/>
                <w:b/>
                <w:bCs/>
                <w:color w:val="000000"/>
                <w:sz w:val="24"/>
                <w:szCs w:val="24"/>
              </w:rPr>
            </w:pPr>
            <w:r>
              <w:rPr>
                <w:rFonts w:hint="eastAsia" w:ascii="仿宋_GB2312" w:hAnsi="仿宋_GB2312" w:eastAsia="仿宋_GB2312" w:cs="仿宋_GB2312"/>
                <w:color w:val="000000"/>
                <w:spacing w:val="-28"/>
                <w:sz w:val="24"/>
                <w:szCs w:val="24"/>
              </w:rPr>
              <w:t>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4" w:hRule="atLeast"/>
        </w:trPr>
        <w:tc>
          <w:tcPr>
            <w:tcW w:w="702" w:type="dxa"/>
            <w:vAlign w:val="center"/>
          </w:tcPr>
          <w:p>
            <w:pPr>
              <w:kinsoku w:val="0"/>
              <w:overflowPunct w:val="0"/>
              <w:autoSpaceDE w:val="0"/>
              <w:autoSpaceDN w:val="0"/>
              <w:adjustRightInd w:val="0"/>
              <w:snapToGrid w:val="0"/>
              <w:spacing w:line="360" w:lineRule="exact"/>
              <w:ind w:firstLine="200" w:firstLineChars="100"/>
              <w:rPr>
                <w:rFonts w:hint="eastAsia" w:ascii="仿宋_GB2312" w:eastAsia="仿宋_GB2312" w:cs="仿宋_GB2312"/>
                <w:color w:val="000000"/>
                <w:spacing w:val="-20"/>
                <w:sz w:val="24"/>
                <w:szCs w:val="24"/>
                <w:lang w:val="en-US" w:eastAsia="zh-CN"/>
              </w:rPr>
            </w:pPr>
            <w:r>
              <w:rPr>
                <w:rFonts w:hint="eastAsia" w:ascii="仿宋_GB2312" w:eastAsia="仿宋_GB2312" w:cs="仿宋_GB2312"/>
                <w:color w:val="000000"/>
                <w:spacing w:val="-20"/>
                <w:sz w:val="24"/>
                <w:szCs w:val="24"/>
                <w:lang w:val="en-US" w:eastAsia="zh-CN"/>
              </w:rPr>
              <w:t>5</w:t>
            </w:r>
          </w:p>
        </w:tc>
        <w:tc>
          <w:tcPr>
            <w:tcW w:w="1228" w:type="dxa"/>
            <w:tcBorders>
              <w:right w:val="single" w:color="auto" w:sz="4" w:space="0"/>
            </w:tcBorders>
            <w:vAlign w:val="center"/>
          </w:tcPr>
          <w:p>
            <w:pPr>
              <w:kinsoku w:val="0"/>
              <w:overflowPunct w:val="0"/>
              <w:autoSpaceDE w:val="0"/>
              <w:autoSpaceDN w:val="0"/>
              <w:adjustRightInd w:val="0"/>
              <w:snapToGrid w:val="0"/>
              <w:spacing w:line="36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医疗美容机构监督检查</w:t>
            </w:r>
          </w:p>
        </w:tc>
        <w:tc>
          <w:tcPr>
            <w:tcW w:w="3568" w:type="dxa"/>
            <w:tcBorders>
              <w:left w:val="single" w:color="auto" w:sz="4" w:space="0"/>
            </w:tcBorders>
            <w:vAlign w:val="center"/>
          </w:tcPr>
          <w:p>
            <w:pPr>
              <w:kinsoku w:val="0"/>
              <w:overflowPunct w:val="0"/>
              <w:autoSpaceDE w:val="0"/>
              <w:autoSpaceDN w:val="0"/>
              <w:adjustRightInd w:val="0"/>
              <w:snapToGrid w:val="0"/>
              <w:spacing w:line="36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医疗机构执业许可证、科室设置及许可范围、医务人员相关资质、实际开展的医疗美容项目、医疗质量安全管理、毒麻药品使用登记情况、医废处置等情况</w:t>
            </w:r>
          </w:p>
        </w:tc>
        <w:tc>
          <w:tcPr>
            <w:tcW w:w="1283" w:type="dxa"/>
            <w:vAlign w:val="center"/>
          </w:tcPr>
          <w:p>
            <w:pPr>
              <w:kinsoku w:val="0"/>
              <w:overflowPunct w:val="0"/>
              <w:autoSpaceDE w:val="0"/>
              <w:autoSpaceDN w:val="0"/>
              <w:adjustRightInd w:val="0"/>
              <w:snapToGrid w:val="0"/>
              <w:spacing w:line="36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区医疗美容机构</w:t>
            </w:r>
          </w:p>
        </w:tc>
        <w:tc>
          <w:tcPr>
            <w:tcW w:w="1283" w:type="dxa"/>
            <w:vAlign w:val="center"/>
          </w:tcPr>
          <w:p>
            <w:pPr>
              <w:kinsoku w:val="0"/>
              <w:overflowPunct w:val="0"/>
              <w:autoSpaceDE w:val="0"/>
              <w:autoSpaceDN w:val="0"/>
              <w:adjustRightInd w:val="0"/>
              <w:snapToGrid w:val="0"/>
              <w:spacing w:line="360" w:lineRule="exact"/>
              <w:jc w:val="center"/>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一般</w:t>
            </w:r>
          </w:p>
          <w:p>
            <w:pPr>
              <w:kinsoku w:val="0"/>
              <w:overflowPunct w:val="0"/>
              <w:autoSpaceDE w:val="0"/>
              <w:autoSpaceDN w:val="0"/>
              <w:adjustRightInd w:val="0"/>
              <w:snapToGrid w:val="0"/>
              <w:spacing w:line="360" w:lineRule="exact"/>
              <w:jc w:val="center"/>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检查事项</w:t>
            </w:r>
          </w:p>
        </w:tc>
        <w:tc>
          <w:tcPr>
            <w:tcW w:w="1267" w:type="dxa"/>
            <w:vAlign w:val="center"/>
          </w:tcPr>
          <w:p>
            <w:pPr>
              <w:kinsoku w:val="0"/>
              <w:overflowPunct w:val="0"/>
              <w:autoSpaceDE w:val="0"/>
              <w:autoSpaceDN w:val="0"/>
              <w:adjustRightInd w:val="0"/>
              <w:snapToGrid w:val="0"/>
              <w:spacing w:line="36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实地核查</w:t>
            </w:r>
          </w:p>
        </w:tc>
        <w:tc>
          <w:tcPr>
            <w:tcW w:w="4407" w:type="dxa"/>
            <w:vAlign w:val="center"/>
          </w:tcPr>
          <w:p>
            <w:pPr>
              <w:kinsoku w:val="0"/>
              <w:overflowPunct w:val="0"/>
              <w:autoSpaceDE w:val="0"/>
              <w:autoSpaceDN w:val="0"/>
              <w:adjustRightInd w:val="0"/>
              <w:snapToGrid w:val="0"/>
              <w:spacing w:line="36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《医疗美容服务管理办法》</w:t>
            </w:r>
          </w:p>
        </w:tc>
        <w:tc>
          <w:tcPr>
            <w:tcW w:w="1224" w:type="dxa"/>
            <w:vAlign w:val="center"/>
          </w:tcPr>
          <w:p>
            <w:pPr>
              <w:jc w:val="center"/>
              <w:rPr>
                <w:rFonts w:ascii="宋体" w:cs="宋体"/>
                <w:b/>
                <w:bCs/>
                <w:color w:val="000000"/>
                <w:sz w:val="24"/>
                <w:szCs w:val="24"/>
              </w:rPr>
            </w:pPr>
            <w:r>
              <w:rPr>
                <w:rFonts w:hint="eastAsia" w:ascii="仿宋_GB2312" w:hAnsi="仿宋_GB2312" w:eastAsia="仿宋_GB2312" w:cs="仿宋_GB2312"/>
                <w:color w:val="000000"/>
                <w:spacing w:val="-28"/>
                <w:sz w:val="24"/>
                <w:szCs w:val="24"/>
              </w:rPr>
              <w:t>卫生健康局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Align w:val="center"/>
          </w:tcPr>
          <w:p>
            <w:pPr>
              <w:kinsoku w:val="0"/>
              <w:overflowPunct w:val="0"/>
              <w:autoSpaceDE w:val="0"/>
              <w:autoSpaceDN w:val="0"/>
              <w:adjustRightInd w:val="0"/>
              <w:snapToGrid w:val="0"/>
              <w:spacing w:line="320" w:lineRule="exact"/>
              <w:jc w:val="center"/>
              <w:rPr>
                <w:rFonts w:hint="eastAsia" w:ascii="仿宋_GB2312" w:hAnsi="仿宋" w:eastAsia="仿宋_GB2312" w:cs="仿宋_GB2312"/>
                <w:color w:val="000000"/>
                <w:spacing w:val="-20"/>
                <w:sz w:val="24"/>
                <w:szCs w:val="24"/>
                <w:lang w:eastAsia="zh-CN"/>
              </w:rPr>
            </w:pPr>
            <w:r>
              <w:rPr>
                <w:rFonts w:hint="eastAsia" w:ascii="仿宋_GB2312" w:hAnsi="仿宋" w:eastAsia="仿宋_GB2312" w:cs="仿宋_GB2312"/>
                <w:color w:val="000000"/>
                <w:spacing w:val="-20"/>
                <w:sz w:val="24"/>
                <w:szCs w:val="24"/>
                <w:lang w:val="en-US" w:eastAsia="zh-CN"/>
              </w:rPr>
              <w:t>6</w:t>
            </w:r>
          </w:p>
        </w:tc>
        <w:tc>
          <w:tcPr>
            <w:tcW w:w="1228"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爆破作业单位安全监督检查</w:t>
            </w:r>
          </w:p>
        </w:tc>
        <w:tc>
          <w:tcPr>
            <w:tcW w:w="3568" w:type="dxa"/>
            <w:vAlign w:val="center"/>
          </w:tcPr>
          <w:p>
            <w:pPr>
              <w:kinsoku w:val="0"/>
              <w:overflowPunct w:val="0"/>
              <w:autoSpaceDE w:val="0"/>
              <w:autoSpaceDN w:val="0"/>
              <w:adjustRightInd w:val="0"/>
              <w:snapToGrid w:val="0"/>
              <w:spacing w:line="320" w:lineRule="exact"/>
              <w:rPr>
                <w:rFonts w:ascii="仿宋_GB2312" w:hAnsi="宋体" w:eastAsia="仿宋_GB2312"/>
                <w:b/>
                <w:bCs/>
                <w:color w:val="000000"/>
                <w:spacing w:val="-20"/>
                <w:sz w:val="24"/>
                <w:szCs w:val="24"/>
              </w:rPr>
            </w:pPr>
            <w:r>
              <w:rPr>
                <w:rFonts w:hint="eastAsia" w:ascii="仿宋_GB2312" w:hAnsi="仿宋" w:eastAsia="仿宋_GB2312" w:cs="仿宋_GB2312"/>
                <w:color w:val="000000"/>
                <w:spacing w:val="-20"/>
                <w:sz w:val="24"/>
                <w:szCs w:val="24"/>
              </w:rPr>
              <w:t>爆破作业单位履行主体安全生产管理责任：</w:t>
            </w: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爆破作业单位日常管理；</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爆破作业人员培训考核；</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民用爆炸物品库硬件设施；</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民用爆炸物品库日常安全管理；</w:t>
            </w:r>
            <w:r>
              <w:rPr>
                <w:rFonts w:ascii="仿宋_GB2312" w:hAnsi="仿宋" w:eastAsia="仿宋_GB2312" w:cs="仿宋_GB2312"/>
                <w:color w:val="000000"/>
                <w:spacing w:val="-20"/>
                <w:sz w:val="24"/>
                <w:szCs w:val="24"/>
              </w:rPr>
              <w:t>5.</w:t>
            </w:r>
            <w:r>
              <w:rPr>
                <w:rFonts w:hint="eastAsia" w:ascii="仿宋_GB2312" w:hAnsi="仿宋" w:eastAsia="仿宋_GB2312" w:cs="仿宋_GB2312"/>
                <w:color w:val="000000"/>
                <w:spacing w:val="-20"/>
                <w:sz w:val="24"/>
                <w:szCs w:val="24"/>
              </w:rPr>
              <w:t>民用爆炸物品库治安防范；</w:t>
            </w:r>
            <w:r>
              <w:rPr>
                <w:rFonts w:ascii="仿宋_GB2312" w:hAnsi="仿宋" w:eastAsia="仿宋_GB2312" w:cs="仿宋_GB2312"/>
                <w:color w:val="000000"/>
                <w:spacing w:val="-20"/>
                <w:sz w:val="24"/>
                <w:szCs w:val="24"/>
              </w:rPr>
              <w:t>6.</w:t>
            </w:r>
            <w:r>
              <w:rPr>
                <w:rFonts w:hint="eastAsia" w:ascii="仿宋_GB2312" w:hAnsi="仿宋" w:eastAsia="仿宋_GB2312" w:cs="仿宋_GB2312"/>
                <w:color w:val="000000"/>
                <w:spacing w:val="-20"/>
                <w:sz w:val="24"/>
                <w:szCs w:val="24"/>
              </w:rPr>
              <w:t>民用爆炸物品流向登记制度执行情况；</w:t>
            </w:r>
            <w:r>
              <w:rPr>
                <w:rFonts w:ascii="仿宋_GB2312" w:hAnsi="仿宋" w:eastAsia="仿宋_GB2312" w:cs="仿宋_GB2312"/>
                <w:color w:val="000000"/>
                <w:spacing w:val="-20"/>
                <w:sz w:val="24"/>
                <w:szCs w:val="24"/>
              </w:rPr>
              <w:t>7.</w:t>
            </w:r>
            <w:r>
              <w:rPr>
                <w:rFonts w:hint="eastAsia" w:ascii="仿宋_GB2312" w:hAnsi="仿宋" w:eastAsia="仿宋_GB2312" w:cs="仿宋_GB2312"/>
                <w:color w:val="000000"/>
                <w:spacing w:val="-20"/>
                <w:sz w:val="24"/>
                <w:szCs w:val="24"/>
              </w:rPr>
              <w:t>爆破作业规范操作；</w:t>
            </w:r>
            <w:r>
              <w:rPr>
                <w:rFonts w:ascii="仿宋_GB2312" w:hAnsi="仿宋" w:eastAsia="仿宋_GB2312" w:cs="仿宋_GB2312"/>
                <w:color w:val="000000"/>
                <w:spacing w:val="-20"/>
                <w:sz w:val="24"/>
                <w:szCs w:val="24"/>
              </w:rPr>
              <w:t>8.</w:t>
            </w:r>
            <w:r>
              <w:rPr>
                <w:rFonts w:hint="eastAsia" w:ascii="仿宋_GB2312" w:hAnsi="仿宋" w:eastAsia="仿宋_GB2312" w:cs="仿宋_GB2312"/>
                <w:color w:val="000000"/>
                <w:spacing w:val="-20"/>
                <w:sz w:val="24"/>
                <w:szCs w:val="24"/>
              </w:rPr>
              <w:t>民用爆炸物品运输</w:t>
            </w:r>
          </w:p>
        </w:tc>
        <w:tc>
          <w:tcPr>
            <w:tcW w:w="1283"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爆破作业单位</w:t>
            </w:r>
          </w:p>
        </w:tc>
        <w:tc>
          <w:tcPr>
            <w:tcW w:w="1283" w:type="dxa"/>
            <w:vAlign w:val="center"/>
          </w:tcPr>
          <w:p>
            <w:pPr>
              <w:kinsoku w:val="0"/>
              <w:overflowPunct w:val="0"/>
              <w:autoSpaceDE w:val="0"/>
              <w:autoSpaceDN w:val="0"/>
              <w:adjustRightInd w:val="0"/>
              <w:snapToGrid w:val="0"/>
              <w:spacing w:line="32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重点</w:t>
            </w:r>
          </w:p>
          <w:p>
            <w:pPr>
              <w:kinsoku w:val="0"/>
              <w:overflowPunct w:val="0"/>
              <w:autoSpaceDE w:val="0"/>
              <w:autoSpaceDN w:val="0"/>
              <w:adjustRightInd w:val="0"/>
              <w:snapToGrid w:val="0"/>
              <w:spacing w:line="32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检查事项</w:t>
            </w:r>
          </w:p>
        </w:tc>
        <w:tc>
          <w:tcPr>
            <w:tcW w:w="126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hint="eastAsia" w:ascii="仿宋_GB2312" w:eastAsia="仿宋_GB2312" w:cs="仿宋_GB2312"/>
                <w:color w:val="000000"/>
                <w:spacing w:val="-20"/>
                <w:sz w:val="24"/>
                <w:szCs w:val="24"/>
              </w:rPr>
              <w:t>书面检查、实地核查、</w:t>
            </w:r>
            <w:r>
              <w:rPr>
                <w:rFonts w:hint="eastAsia" w:ascii="仿宋_GB2312" w:hAnsi="仿宋" w:eastAsia="仿宋_GB2312" w:cs="仿宋_GB2312"/>
                <w:color w:val="000000"/>
                <w:spacing w:val="-20"/>
                <w:sz w:val="24"/>
                <w:szCs w:val="24"/>
              </w:rPr>
              <w:t>网络监测</w:t>
            </w:r>
          </w:p>
        </w:tc>
        <w:tc>
          <w:tcPr>
            <w:tcW w:w="4407" w:type="dxa"/>
            <w:vAlign w:val="center"/>
          </w:tcPr>
          <w:p>
            <w:pPr>
              <w:kinsoku w:val="0"/>
              <w:overflowPunct w:val="0"/>
              <w:autoSpaceDE w:val="0"/>
              <w:autoSpaceDN w:val="0"/>
              <w:adjustRightInd w:val="0"/>
              <w:snapToGrid w:val="0"/>
              <w:spacing w:line="260" w:lineRule="exact"/>
              <w:rPr>
                <w:rFonts w:ascii="仿宋_GB2312" w:hAnsi="仿宋" w:eastAsia="仿宋_GB2312"/>
                <w:color w:val="000000"/>
                <w:spacing w:val="-32"/>
                <w:sz w:val="24"/>
                <w:szCs w:val="24"/>
              </w:rPr>
            </w:pPr>
            <w:r>
              <w:rPr>
                <w:rFonts w:hint="eastAsia" w:ascii="仿宋_GB2312" w:hAnsi="仿宋" w:eastAsia="仿宋_GB2312" w:cs="仿宋_GB2312"/>
                <w:color w:val="000000"/>
                <w:spacing w:val="-32"/>
                <w:sz w:val="24"/>
                <w:szCs w:val="24"/>
              </w:rPr>
              <w:t>《</w:t>
            </w:r>
            <w:r>
              <w:rPr>
                <w:rFonts w:hint="eastAsia" w:ascii="仿宋_GB2312" w:hAnsi="仿宋" w:eastAsia="仿宋_GB2312" w:cs="仿宋_GB2312"/>
                <w:color w:val="000000"/>
                <w:spacing w:val="-32"/>
              </w:rPr>
              <w:t>民用爆炸物品安全管理条例》（国务院令第</w:t>
            </w:r>
            <w:r>
              <w:rPr>
                <w:rFonts w:ascii="仿宋_GB2312" w:hAnsi="仿宋" w:eastAsia="仿宋_GB2312" w:cs="仿宋_GB2312"/>
                <w:color w:val="000000"/>
                <w:spacing w:val="-32"/>
              </w:rPr>
              <w:t>466</w:t>
            </w:r>
            <w:r>
              <w:rPr>
                <w:rFonts w:hint="eastAsia" w:ascii="仿宋_GB2312" w:hAnsi="仿宋" w:eastAsia="仿宋_GB2312" w:cs="仿宋_GB2312"/>
                <w:color w:val="000000"/>
                <w:spacing w:val="-32"/>
              </w:rPr>
              <w:t>号）第四条；《工业雷管编码通则》（</w:t>
            </w:r>
            <w:r>
              <w:rPr>
                <w:rFonts w:ascii="仿宋_GB2312" w:hAnsi="仿宋" w:eastAsia="仿宋_GB2312" w:cs="仿宋_GB2312"/>
                <w:color w:val="000000"/>
                <w:spacing w:val="-32"/>
              </w:rPr>
              <w:t>GA441—2003</w:t>
            </w:r>
            <w:r>
              <w:rPr>
                <w:rFonts w:hint="eastAsia" w:ascii="仿宋_GB2312" w:hAnsi="仿宋" w:eastAsia="仿宋_GB2312" w:cs="仿宋_GB2312"/>
                <w:color w:val="000000"/>
                <w:spacing w:val="-32"/>
              </w:rPr>
              <w:t>）；《民用爆炸物品警示标识登记标识通则》（</w:t>
            </w:r>
            <w:r>
              <w:rPr>
                <w:rFonts w:ascii="仿宋_GB2312" w:hAnsi="仿宋" w:eastAsia="仿宋_GB2312" w:cs="仿宋_GB2312"/>
                <w:color w:val="000000"/>
                <w:spacing w:val="-32"/>
              </w:rPr>
              <w:t>GA921—2010</w:t>
            </w:r>
            <w:r>
              <w:rPr>
                <w:rFonts w:hint="eastAsia" w:ascii="仿宋_GB2312" w:hAnsi="仿宋" w:eastAsia="仿宋_GB2312" w:cs="仿宋_GB2312"/>
                <w:color w:val="000000"/>
                <w:spacing w:val="-32"/>
              </w:rPr>
              <w:t>）；《民用爆炸物品储存库治安防范要求》（</w:t>
            </w:r>
            <w:r>
              <w:rPr>
                <w:rFonts w:ascii="仿宋_GB2312" w:hAnsi="仿宋" w:eastAsia="仿宋_GB2312" w:cs="仿宋_GB2312"/>
                <w:color w:val="000000"/>
                <w:spacing w:val="-32"/>
              </w:rPr>
              <w:t>GA837—2009</w:t>
            </w:r>
            <w:r>
              <w:rPr>
                <w:rFonts w:hint="eastAsia" w:ascii="仿宋_GB2312" w:hAnsi="仿宋" w:eastAsia="仿宋_GB2312" w:cs="仿宋_GB2312"/>
                <w:color w:val="000000"/>
                <w:spacing w:val="-32"/>
              </w:rPr>
              <w:t>）；《小型民用爆炸物品储存库安全规范》（</w:t>
            </w:r>
            <w:r>
              <w:rPr>
                <w:rFonts w:ascii="仿宋_GB2312" w:hAnsi="仿宋" w:eastAsia="仿宋_GB2312" w:cs="仿宋_GB2312"/>
                <w:color w:val="000000"/>
                <w:spacing w:val="-32"/>
              </w:rPr>
              <w:t>GA838—2009</w:t>
            </w:r>
            <w:r>
              <w:rPr>
                <w:rFonts w:hint="eastAsia" w:ascii="仿宋_GB2312" w:hAnsi="仿宋" w:eastAsia="仿宋_GB2312" w:cs="仿宋_GB2312"/>
                <w:color w:val="000000"/>
                <w:spacing w:val="-32"/>
              </w:rPr>
              <w:t>）；《爆破作业单位民用爆炸物品储存库安全评价导则》（</w:t>
            </w:r>
            <w:r>
              <w:rPr>
                <w:rFonts w:ascii="仿宋_GB2312" w:hAnsi="仿宋" w:eastAsia="仿宋_GB2312" w:cs="仿宋_GB2312"/>
                <w:color w:val="000000"/>
                <w:spacing w:val="-32"/>
              </w:rPr>
              <w:t>GA/T848—2009</w:t>
            </w:r>
            <w:r>
              <w:rPr>
                <w:rFonts w:hint="eastAsia" w:ascii="仿宋_GB2312" w:hAnsi="仿宋" w:eastAsia="仿宋_GB2312" w:cs="仿宋_GB2312"/>
                <w:color w:val="000000"/>
                <w:spacing w:val="-32"/>
              </w:rPr>
              <w:t>）；《爆破安全规程》（</w:t>
            </w:r>
            <w:r>
              <w:rPr>
                <w:rFonts w:ascii="仿宋_GB2312" w:hAnsi="仿宋" w:eastAsia="仿宋_GB2312" w:cs="仿宋_GB2312"/>
                <w:color w:val="000000"/>
                <w:spacing w:val="-32"/>
              </w:rPr>
              <w:t>GB6722—2003</w:t>
            </w:r>
            <w:r>
              <w:rPr>
                <w:rFonts w:hint="eastAsia" w:ascii="仿宋_GB2312" w:hAnsi="仿宋" w:eastAsia="仿宋_GB2312" w:cs="仿宋_GB2312"/>
                <w:color w:val="000000"/>
                <w:spacing w:val="-32"/>
              </w:rPr>
              <w:t>）；《爆破作业人员安全技术考核标准》（</w:t>
            </w:r>
            <w:r>
              <w:rPr>
                <w:rFonts w:ascii="仿宋_GB2312" w:hAnsi="仿宋" w:eastAsia="仿宋_GB2312" w:cs="仿宋_GB2312"/>
                <w:color w:val="000000"/>
                <w:spacing w:val="-32"/>
              </w:rPr>
              <w:t>GA53—93</w:t>
            </w:r>
            <w:r>
              <w:rPr>
                <w:rFonts w:hint="eastAsia" w:ascii="仿宋_GB2312" w:hAnsi="仿宋" w:eastAsia="仿宋_GB2312" w:cs="仿宋_GB2312"/>
                <w:color w:val="000000"/>
                <w:spacing w:val="-32"/>
              </w:rPr>
              <w:t>）；《爆破作业单位资质条件和管理要求》（</w:t>
            </w:r>
            <w:r>
              <w:rPr>
                <w:rFonts w:ascii="仿宋_GB2312" w:hAnsi="仿宋" w:eastAsia="仿宋_GB2312" w:cs="仿宋_GB2312"/>
                <w:color w:val="000000"/>
                <w:spacing w:val="-32"/>
              </w:rPr>
              <w:t>GA990—2012</w:t>
            </w:r>
            <w:r>
              <w:rPr>
                <w:rFonts w:hint="eastAsia" w:ascii="仿宋_GB2312" w:hAnsi="仿宋" w:eastAsia="仿宋_GB2312" w:cs="仿宋_GB2312"/>
                <w:color w:val="000000"/>
                <w:spacing w:val="-32"/>
              </w:rPr>
              <w:t>）《爆破作业项目管理要求》（</w:t>
            </w:r>
            <w:r>
              <w:rPr>
                <w:rFonts w:ascii="仿宋_GB2312" w:hAnsi="仿宋" w:eastAsia="仿宋_GB2312" w:cs="仿宋_GB2312"/>
                <w:color w:val="000000"/>
                <w:spacing w:val="-32"/>
              </w:rPr>
              <w:t>GA991—2012</w:t>
            </w:r>
            <w:r>
              <w:rPr>
                <w:rFonts w:hint="eastAsia" w:ascii="仿宋_GB2312" w:hAnsi="仿宋" w:eastAsia="仿宋_GB2312" w:cs="仿宋_GB2312"/>
                <w:color w:val="000000"/>
                <w:spacing w:val="-32"/>
              </w:rPr>
              <w:t>）</w:t>
            </w:r>
          </w:p>
        </w:tc>
        <w:tc>
          <w:tcPr>
            <w:tcW w:w="1224" w:type="dxa"/>
            <w:vAlign w:val="center"/>
          </w:tcPr>
          <w:p>
            <w:pPr>
              <w:kinsoku w:val="0"/>
              <w:overflowPunct w:val="0"/>
              <w:autoSpaceDE w:val="0"/>
              <w:autoSpaceDN w:val="0"/>
              <w:adjustRightInd w:val="0"/>
              <w:snapToGrid w:val="0"/>
              <w:spacing w:line="32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公安分局</w:t>
            </w:r>
          </w:p>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Align w:val="center"/>
          </w:tcPr>
          <w:p>
            <w:pPr>
              <w:kinsoku w:val="0"/>
              <w:overflowPunct w:val="0"/>
              <w:autoSpaceDE w:val="0"/>
              <w:autoSpaceDN w:val="0"/>
              <w:adjustRightInd w:val="0"/>
              <w:snapToGrid w:val="0"/>
              <w:spacing w:line="320" w:lineRule="exact"/>
              <w:jc w:val="center"/>
              <w:rPr>
                <w:rFonts w:hint="eastAsia" w:ascii="仿宋_GB2312" w:hAnsi="仿宋" w:eastAsia="仿宋_GB2312" w:cs="仿宋_GB2312"/>
                <w:color w:val="000000"/>
                <w:spacing w:val="-20"/>
                <w:sz w:val="24"/>
                <w:szCs w:val="24"/>
                <w:lang w:eastAsia="zh-CN"/>
              </w:rPr>
            </w:pPr>
            <w:r>
              <w:rPr>
                <w:rFonts w:hint="eastAsia" w:ascii="仿宋_GB2312" w:hAnsi="仿宋" w:eastAsia="仿宋_GB2312" w:cs="仿宋_GB2312"/>
                <w:color w:val="000000"/>
                <w:spacing w:val="-20"/>
                <w:sz w:val="24"/>
                <w:szCs w:val="24"/>
                <w:lang w:val="en-US" w:eastAsia="zh-CN"/>
              </w:rPr>
              <w:t>7</w:t>
            </w:r>
          </w:p>
        </w:tc>
        <w:tc>
          <w:tcPr>
            <w:tcW w:w="1228"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保安服务业安全经营管理行为监督检查</w:t>
            </w:r>
          </w:p>
        </w:tc>
        <w:tc>
          <w:tcPr>
            <w:tcW w:w="3568" w:type="dxa"/>
            <w:vAlign w:val="center"/>
          </w:tcPr>
          <w:p>
            <w:pPr>
              <w:kinsoku w:val="0"/>
              <w:overflowPunct w:val="0"/>
              <w:autoSpaceDE w:val="0"/>
              <w:autoSpaceDN w:val="0"/>
              <w:adjustRightInd w:val="0"/>
              <w:snapToGrid w:val="0"/>
              <w:spacing w:line="260" w:lineRule="exact"/>
              <w:rPr>
                <w:rFonts w:ascii="仿宋_GB2312" w:hAnsi="仿宋" w:eastAsia="仿宋_GB2312"/>
                <w:color w:val="000000"/>
                <w:spacing w:val="-20"/>
              </w:rPr>
            </w:pPr>
            <w:r>
              <w:rPr>
                <w:rFonts w:hint="eastAsia" w:ascii="仿宋_GB2312" w:hAnsi="仿宋" w:eastAsia="仿宋_GB2312" w:cs="仿宋_GB2312"/>
                <w:color w:val="000000"/>
                <w:spacing w:val="-20"/>
              </w:rPr>
              <w:t>保安服务公司和保安培训单位履行主体责任：一</w:t>
            </w:r>
            <w:r>
              <w:rPr>
                <w:rFonts w:ascii="仿宋_GB2312" w:hAnsi="仿宋" w:eastAsia="仿宋_GB2312" w:cs="仿宋_GB2312"/>
                <w:color w:val="000000"/>
                <w:spacing w:val="-20"/>
              </w:rPr>
              <w:t xml:space="preserve">. </w:t>
            </w:r>
            <w:r>
              <w:rPr>
                <w:rFonts w:hint="eastAsia" w:ascii="仿宋_GB2312" w:hAnsi="仿宋" w:eastAsia="仿宋_GB2312" w:cs="仿宋_GB2312"/>
                <w:color w:val="000000"/>
                <w:spacing w:val="-20"/>
              </w:rPr>
              <w:t>保安服务公司：</w:t>
            </w:r>
            <w:r>
              <w:rPr>
                <w:rFonts w:ascii="仿宋_GB2312" w:hAnsi="仿宋" w:eastAsia="仿宋_GB2312" w:cs="仿宋_GB2312"/>
                <w:color w:val="000000"/>
                <w:spacing w:val="-20"/>
              </w:rPr>
              <w:t>1.</w:t>
            </w:r>
            <w:r>
              <w:rPr>
                <w:rFonts w:hint="eastAsia" w:ascii="仿宋_GB2312" w:hAnsi="仿宋" w:eastAsia="仿宋_GB2312" w:cs="仿宋_GB2312"/>
                <w:color w:val="000000"/>
                <w:spacing w:val="-20"/>
              </w:rPr>
              <w:t>保安服务公司基本情况；</w:t>
            </w:r>
            <w:r>
              <w:rPr>
                <w:rFonts w:ascii="仿宋_GB2312" w:hAnsi="仿宋" w:eastAsia="仿宋_GB2312" w:cs="仿宋_GB2312"/>
                <w:color w:val="000000"/>
                <w:spacing w:val="-20"/>
              </w:rPr>
              <w:t>2.</w:t>
            </w:r>
            <w:r>
              <w:rPr>
                <w:rFonts w:hint="eastAsia" w:ascii="仿宋_GB2312" w:hAnsi="仿宋" w:eastAsia="仿宋_GB2312" w:cs="仿宋_GB2312"/>
                <w:color w:val="000000"/>
                <w:spacing w:val="-20"/>
              </w:rPr>
              <w:t>设立分公司和跨省、自治区、直辖市开展保安服务经营活动情况；</w:t>
            </w:r>
            <w:r>
              <w:rPr>
                <w:rFonts w:ascii="仿宋_GB2312" w:hAnsi="仿宋" w:eastAsia="仿宋_GB2312" w:cs="仿宋_GB2312"/>
                <w:color w:val="000000"/>
                <w:spacing w:val="-20"/>
              </w:rPr>
              <w:t>3.</w:t>
            </w:r>
            <w:r>
              <w:rPr>
                <w:rFonts w:hint="eastAsia" w:ascii="仿宋_GB2312" w:hAnsi="仿宋" w:eastAsia="仿宋_GB2312" w:cs="仿宋_GB2312"/>
                <w:color w:val="000000"/>
                <w:spacing w:val="-20"/>
              </w:rPr>
              <w:t>保安服务合同和监控影像资料、报警记录留存制度落实情况；</w:t>
            </w:r>
            <w:r>
              <w:rPr>
                <w:rFonts w:ascii="仿宋_GB2312" w:hAnsi="仿宋" w:eastAsia="仿宋_GB2312" w:cs="仿宋_GB2312"/>
                <w:color w:val="000000"/>
                <w:spacing w:val="-20"/>
              </w:rPr>
              <w:t>4.</w:t>
            </w:r>
            <w:r>
              <w:rPr>
                <w:rFonts w:hint="eastAsia" w:ascii="仿宋_GB2312" w:hAnsi="仿宋" w:eastAsia="仿宋_GB2312" w:cs="仿宋_GB2312"/>
                <w:color w:val="000000"/>
                <w:spacing w:val="-20"/>
              </w:rPr>
              <w:t>保安服务中涉及的安全技术防范产品、设备安装、变更、使用情况；</w:t>
            </w:r>
            <w:r>
              <w:rPr>
                <w:rFonts w:ascii="仿宋_GB2312" w:hAnsi="仿宋" w:eastAsia="仿宋_GB2312" w:cs="仿宋_GB2312"/>
                <w:color w:val="000000"/>
                <w:spacing w:val="-20"/>
              </w:rPr>
              <w:t>5.</w:t>
            </w:r>
            <w:r>
              <w:rPr>
                <w:rFonts w:hint="eastAsia" w:ascii="仿宋_GB2312" w:hAnsi="仿宋" w:eastAsia="仿宋_GB2312" w:cs="仿宋_GB2312"/>
                <w:color w:val="000000"/>
                <w:spacing w:val="-20"/>
              </w:rPr>
              <w:t>保安服务管理制度、岗位责任制度、保安员管理制度和紧急情况应急预案建立落实情况；</w:t>
            </w:r>
            <w:r>
              <w:rPr>
                <w:rFonts w:ascii="仿宋_GB2312" w:hAnsi="仿宋" w:eastAsia="仿宋_GB2312" w:cs="仿宋_GB2312"/>
                <w:color w:val="000000"/>
                <w:spacing w:val="-20"/>
              </w:rPr>
              <w:t>6.</w:t>
            </w:r>
            <w:r>
              <w:rPr>
                <w:rFonts w:hint="eastAsia" w:ascii="仿宋_GB2312" w:hAnsi="仿宋" w:eastAsia="仿宋_GB2312" w:cs="仿宋_GB2312"/>
                <w:color w:val="000000"/>
                <w:spacing w:val="-20"/>
              </w:rPr>
              <w:t>从事武装守护押运服务保安服务公司公务用枪安全管理制度和保管设施建设情况；</w:t>
            </w:r>
            <w:r>
              <w:rPr>
                <w:rFonts w:ascii="仿宋_GB2312" w:hAnsi="仿宋" w:eastAsia="仿宋_GB2312" w:cs="仿宋_GB2312"/>
                <w:color w:val="000000"/>
                <w:spacing w:val="-20"/>
              </w:rPr>
              <w:t>7.</w:t>
            </w:r>
            <w:r>
              <w:rPr>
                <w:rFonts w:hint="eastAsia" w:ascii="仿宋_GB2312" w:hAnsi="仿宋" w:eastAsia="仿宋_GB2312" w:cs="仿宋_GB2312"/>
                <w:color w:val="000000"/>
                <w:spacing w:val="-20"/>
              </w:rPr>
              <w:t>保安员及其服装、保安服务标志与装备管理情况；</w:t>
            </w:r>
            <w:r>
              <w:rPr>
                <w:rFonts w:ascii="仿宋_GB2312" w:hAnsi="仿宋" w:eastAsia="仿宋_GB2312" w:cs="仿宋_GB2312"/>
                <w:color w:val="000000"/>
                <w:spacing w:val="-20"/>
              </w:rPr>
              <w:t>8.</w:t>
            </w:r>
            <w:r>
              <w:rPr>
                <w:rFonts w:hint="eastAsia" w:ascii="仿宋_GB2312" w:hAnsi="仿宋" w:eastAsia="仿宋_GB2312" w:cs="仿宋_GB2312"/>
                <w:color w:val="000000"/>
                <w:spacing w:val="-20"/>
              </w:rPr>
              <w:t>保安员在岗培训和权益保障工作落实情况；</w:t>
            </w:r>
            <w:r>
              <w:rPr>
                <w:rFonts w:ascii="仿宋_GB2312" w:hAnsi="仿宋" w:eastAsia="仿宋_GB2312" w:cs="仿宋_GB2312"/>
                <w:color w:val="000000"/>
                <w:spacing w:val="-20"/>
              </w:rPr>
              <w:t>9.</w:t>
            </w:r>
            <w:r>
              <w:rPr>
                <w:rFonts w:hint="eastAsia" w:ascii="仿宋_GB2312" w:hAnsi="仿宋" w:eastAsia="仿宋_GB2312" w:cs="仿宋_GB2312"/>
                <w:color w:val="000000"/>
                <w:spacing w:val="-20"/>
              </w:rPr>
              <w:t>被投诉举报事项纠正情况。二、保安培训单位：</w:t>
            </w:r>
            <w:r>
              <w:rPr>
                <w:rFonts w:ascii="仿宋_GB2312" w:hAnsi="仿宋" w:eastAsia="仿宋_GB2312" w:cs="仿宋_GB2312"/>
                <w:color w:val="000000"/>
                <w:spacing w:val="-20"/>
              </w:rPr>
              <w:t>1.</w:t>
            </w:r>
            <w:r>
              <w:rPr>
                <w:rFonts w:hint="eastAsia" w:ascii="仿宋_GB2312" w:hAnsi="仿宋" w:eastAsia="仿宋_GB2312" w:cs="仿宋_GB2312"/>
                <w:color w:val="000000"/>
                <w:spacing w:val="-20"/>
              </w:rPr>
              <w:t>保安培训单位基本情况；</w:t>
            </w:r>
            <w:r>
              <w:rPr>
                <w:rFonts w:ascii="仿宋_GB2312" w:hAnsi="仿宋" w:eastAsia="仿宋_GB2312" w:cs="仿宋_GB2312"/>
                <w:color w:val="000000"/>
                <w:spacing w:val="-20"/>
              </w:rPr>
              <w:t>2.</w:t>
            </w:r>
            <w:r>
              <w:rPr>
                <w:rFonts w:hint="eastAsia" w:ascii="仿宋_GB2312" w:hAnsi="仿宋" w:eastAsia="仿宋_GB2312" w:cs="仿宋_GB2312"/>
                <w:color w:val="000000"/>
                <w:spacing w:val="-20"/>
              </w:rPr>
              <w:t>保安培训教学情况；</w:t>
            </w:r>
            <w:r>
              <w:rPr>
                <w:rFonts w:ascii="仿宋_GB2312" w:hAnsi="仿宋" w:eastAsia="仿宋_GB2312" w:cs="仿宋_GB2312"/>
                <w:color w:val="000000"/>
                <w:spacing w:val="-20"/>
              </w:rPr>
              <w:t>3.</w:t>
            </w:r>
            <w:r>
              <w:rPr>
                <w:rFonts w:hint="eastAsia" w:ascii="仿宋_GB2312" w:hAnsi="仿宋" w:eastAsia="仿宋_GB2312" w:cs="仿宋_GB2312"/>
                <w:color w:val="000000"/>
                <w:spacing w:val="-20"/>
              </w:rPr>
              <w:t>枪支使用培训单位备案情况和枪支安全管理制度与保管设施建设管理情况。</w:t>
            </w:r>
            <w:r>
              <w:rPr>
                <w:rFonts w:ascii="仿宋_GB2312" w:hAnsi="仿宋" w:eastAsia="仿宋_GB2312" w:cs="仿宋_GB2312"/>
                <w:color w:val="000000"/>
                <w:spacing w:val="-20"/>
              </w:rPr>
              <w:t xml:space="preserve"> </w:t>
            </w:r>
          </w:p>
        </w:tc>
        <w:tc>
          <w:tcPr>
            <w:tcW w:w="1283"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保安服务公司、培训单位</w:t>
            </w:r>
          </w:p>
        </w:tc>
        <w:tc>
          <w:tcPr>
            <w:tcW w:w="1283" w:type="dxa"/>
            <w:vAlign w:val="center"/>
          </w:tcPr>
          <w:p>
            <w:pPr>
              <w:kinsoku w:val="0"/>
              <w:overflowPunct w:val="0"/>
              <w:autoSpaceDE w:val="0"/>
              <w:autoSpaceDN w:val="0"/>
              <w:adjustRightInd w:val="0"/>
              <w:snapToGrid w:val="0"/>
              <w:spacing w:line="320" w:lineRule="exact"/>
              <w:jc w:val="center"/>
              <w:rPr>
                <w:rFonts w:ascii="仿宋_GB2312" w:hAnsi="仿宋" w:eastAsia="仿宋_GB2312"/>
                <w:color w:val="000000"/>
                <w:spacing w:val="-20"/>
                <w:sz w:val="24"/>
                <w:szCs w:val="24"/>
              </w:rPr>
            </w:pPr>
          </w:p>
        </w:tc>
        <w:tc>
          <w:tcPr>
            <w:tcW w:w="126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hint="eastAsia" w:ascii="仿宋_GB2312" w:eastAsia="仿宋_GB2312" w:cs="仿宋_GB2312"/>
                <w:color w:val="000000"/>
                <w:spacing w:val="-20"/>
                <w:sz w:val="24"/>
                <w:szCs w:val="24"/>
              </w:rPr>
              <w:t>书面检查、实地核查</w:t>
            </w:r>
          </w:p>
        </w:tc>
        <w:tc>
          <w:tcPr>
            <w:tcW w:w="4407"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28"/>
                <w:sz w:val="24"/>
                <w:szCs w:val="24"/>
              </w:rPr>
            </w:pPr>
            <w:r>
              <w:rPr>
                <w:rFonts w:hint="eastAsia" w:ascii="仿宋_GB2312" w:hAnsi="仿宋" w:eastAsia="仿宋_GB2312" w:cs="仿宋_GB2312"/>
                <w:color w:val="000000"/>
                <w:spacing w:val="-28"/>
                <w:sz w:val="24"/>
                <w:szCs w:val="24"/>
              </w:rPr>
              <w:t>《保安服务管理条例》第三条；《公安机关实施保安服务管理条例办法》第四十一条；《保安培训机构管理办法》（公安部令第</w:t>
            </w:r>
            <w:r>
              <w:rPr>
                <w:rFonts w:ascii="仿宋_GB2312" w:hAnsi="仿宋" w:eastAsia="仿宋_GB2312" w:cs="仿宋_GB2312"/>
                <w:color w:val="000000"/>
                <w:spacing w:val="-28"/>
                <w:sz w:val="24"/>
                <w:szCs w:val="24"/>
              </w:rPr>
              <w:t>85</w:t>
            </w:r>
            <w:r>
              <w:rPr>
                <w:rFonts w:hint="eastAsia" w:ascii="仿宋_GB2312" w:hAnsi="仿宋" w:eastAsia="仿宋_GB2312" w:cs="仿宋_GB2312"/>
                <w:color w:val="000000"/>
                <w:spacing w:val="-28"/>
                <w:sz w:val="24"/>
                <w:szCs w:val="24"/>
              </w:rPr>
              <w:t>号）第二十八条</w:t>
            </w:r>
          </w:p>
        </w:tc>
        <w:tc>
          <w:tcPr>
            <w:tcW w:w="1224" w:type="dxa"/>
            <w:vAlign w:val="center"/>
          </w:tcPr>
          <w:p>
            <w:pPr>
              <w:kinsoku w:val="0"/>
              <w:overflowPunct w:val="0"/>
              <w:autoSpaceDE w:val="0"/>
              <w:autoSpaceDN w:val="0"/>
              <w:adjustRightInd w:val="0"/>
              <w:snapToGrid w:val="0"/>
              <w:spacing w:line="32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公安分局</w:t>
            </w:r>
          </w:p>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2" w:type="dxa"/>
            <w:vAlign w:val="center"/>
          </w:tcPr>
          <w:p>
            <w:pPr>
              <w:kinsoku w:val="0"/>
              <w:overflowPunct w:val="0"/>
              <w:autoSpaceDE w:val="0"/>
              <w:autoSpaceDN w:val="0"/>
              <w:adjustRightInd w:val="0"/>
              <w:snapToGrid w:val="0"/>
              <w:spacing w:line="280" w:lineRule="exact"/>
              <w:jc w:val="center"/>
              <w:rPr>
                <w:rFonts w:hint="eastAsia" w:ascii="仿宋_GB2312" w:hAnsi="仿宋" w:eastAsia="仿宋_GB2312" w:cs="仿宋_GB2312"/>
                <w:color w:val="000000"/>
                <w:spacing w:val="-30"/>
                <w:sz w:val="24"/>
                <w:szCs w:val="24"/>
                <w:lang w:eastAsia="zh-CN"/>
              </w:rPr>
            </w:pPr>
            <w:r>
              <w:rPr>
                <w:rFonts w:hint="eastAsia" w:ascii="仿宋_GB2312" w:hAnsi="仿宋" w:eastAsia="仿宋_GB2312" w:cs="仿宋_GB2312"/>
                <w:color w:val="000000"/>
                <w:spacing w:val="-30"/>
                <w:sz w:val="24"/>
                <w:szCs w:val="24"/>
                <w:lang w:val="en-US" w:eastAsia="zh-CN"/>
              </w:rPr>
              <w:t>8</w:t>
            </w:r>
          </w:p>
        </w:tc>
        <w:tc>
          <w:tcPr>
            <w:tcW w:w="1228"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银行业金融机构安全检查及安全评估</w:t>
            </w:r>
          </w:p>
        </w:tc>
        <w:tc>
          <w:tcPr>
            <w:tcW w:w="3568"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银行业金融机构履行主体责任人防、物防、技防的检查听。取汇报、实地检查物防技防设施、周边状况、录像回放质量、查阅相关档案资料、测试部分报警对讲功能、询问有关人员</w:t>
            </w: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银行业金融机构</w:t>
            </w:r>
          </w:p>
        </w:tc>
        <w:tc>
          <w:tcPr>
            <w:tcW w:w="1283" w:type="dxa"/>
            <w:vAlign w:val="center"/>
          </w:tcPr>
          <w:p>
            <w:pPr>
              <w:kinsoku w:val="0"/>
              <w:overflowPunct w:val="0"/>
              <w:autoSpaceDE w:val="0"/>
              <w:autoSpaceDN w:val="0"/>
              <w:adjustRightInd w:val="0"/>
              <w:snapToGrid w:val="0"/>
              <w:spacing w:line="280" w:lineRule="exact"/>
              <w:jc w:val="center"/>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一般</w:t>
            </w:r>
          </w:p>
          <w:p>
            <w:pPr>
              <w:kinsoku w:val="0"/>
              <w:overflowPunct w:val="0"/>
              <w:autoSpaceDE w:val="0"/>
              <w:autoSpaceDN w:val="0"/>
              <w:adjustRightInd w:val="0"/>
              <w:snapToGrid w:val="0"/>
              <w:spacing w:line="280" w:lineRule="exact"/>
              <w:jc w:val="center"/>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事项检查</w:t>
            </w:r>
          </w:p>
        </w:tc>
        <w:tc>
          <w:tcPr>
            <w:tcW w:w="126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30"/>
                <w:sz w:val="24"/>
                <w:szCs w:val="24"/>
              </w:rPr>
            </w:pPr>
            <w:r>
              <w:rPr>
                <w:rFonts w:hint="eastAsia" w:ascii="仿宋_GB2312" w:eastAsia="仿宋_GB2312" w:cs="仿宋_GB2312"/>
                <w:color w:val="000000"/>
                <w:spacing w:val="-20"/>
                <w:sz w:val="24"/>
                <w:szCs w:val="24"/>
              </w:rPr>
              <w:t>书面检查、实地核查</w:t>
            </w:r>
          </w:p>
        </w:tc>
        <w:tc>
          <w:tcPr>
            <w:tcW w:w="4407" w:type="dxa"/>
            <w:vAlign w:val="center"/>
          </w:tcPr>
          <w:p>
            <w:pPr>
              <w:kinsoku w:val="0"/>
              <w:overflowPunct w:val="0"/>
              <w:autoSpaceDE w:val="0"/>
              <w:autoSpaceDN w:val="0"/>
              <w:adjustRightInd w:val="0"/>
              <w:snapToGrid w:val="0"/>
              <w:spacing w:line="260" w:lineRule="exact"/>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《企业事业单位内部治安保卫条例》《银行营业场所安全防范要求》（</w:t>
            </w:r>
            <w:r>
              <w:rPr>
                <w:rFonts w:ascii="仿宋_GB2312" w:hAnsi="仿宋" w:eastAsia="仿宋_GB2312" w:cs="仿宋_GB2312"/>
                <w:color w:val="000000"/>
                <w:spacing w:val="-30"/>
                <w:sz w:val="24"/>
                <w:szCs w:val="24"/>
              </w:rPr>
              <w:t>GA38—2015</w:t>
            </w:r>
            <w:r>
              <w:rPr>
                <w:rFonts w:hint="eastAsia" w:ascii="仿宋_GB2312" w:hAnsi="仿宋" w:eastAsia="仿宋_GB2312" w:cs="仿宋_GB2312"/>
                <w:color w:val="000000"/>
                <w:spacing w:val="-30"/>
                <w:sz w:val="24"/>
                <w:szCs w:val="24"/>
              </w:rPr>
              <w:t>）、《银行自助设备、自助银行安全防范要求》（</w:t>
            </w:r>
            <w:r>
              <w:rPr>
                <w:rFonts w:ascii="仿宋_GB2312" w:hAnsi="仿宋" w:eastAsia="仿宋_GB2312" w:cs="仿宋_GB2312"/>
                <w:color w:val="000000"/>
                <w:spacing w:val="-30"/>
                <w:sz w:val="24"/>
                <w:szCs w:val="24"/>
              </w:rPr>
              <w:t>GA745-2017</w:t>
            </w:r>
            <w:r>
              <w:rPr>
                <w:rFonts w:hint="eastAsia" w:ascii="仿宋_GB2312" w:hAnsi="仿宋" w:eastAsia="仿宋_GB2312" w:cs="仿宋_GB2312"/>
                <w:color w:val="000000"/>
                <w:spacing w:val="-30"/>
                <w:sz w:val="24"/>
                <w:szCs w:val="24"/>
              </w:rPr>
              <w:t>）、《银行业务库安全防范的要求》（</w:t>
            </w:r>
            <w:r>
              <w:rPr>
                <w:rFonts w:ascii="仿宋_GB2312" w:hAnsi="仿宋" w:eastAsia="仿宋_GB2312" w:cs="仿宋_GB2312"/>
                <w:color w:val="000000"/>
                <w:spacing w:val="-30"/>
                <w:sz w:val="24"/>
                <w:szCs w:val="24"/>
              </w:rPr>
              <w:t>GA858—2010</w:t>
            </w:r>
            <w:r>
              <w:rPr>
                <w:rFonts w:hint="eastAsia" w:ascii="仿宋_GB2312" w:hAnsi="仿宋" w:eastAsia="仿宋_GB2312" w:cs="仿宋_GB2312"/>
                <w:color w:val="000000"/>
                <w:spacing w:val="-30"/>
                <w:sz w:val="24"/>
                <w:szCs w:val="24"/>
              </w:rPr>
              <w:t>）、《银行业金融机构安全评估标准》（公治〔</w:t>
            </w:r>
            <w:r>
              <w:rPr>
                <w:rFonts w:ascii="仿宋_GB2312" w:hAnsi="仿宋" w:eastAsia="仿宋_GB2312" w:cs="仿宋_GB2312"/>
                <w:color w:val="000000"/>
                <w:spacing w:val="-30"/>
                <w:sz w:val="24"/>
                <w:szCs w:val="24"/>
              </w:rPr>
              <w:t>2017</w:t>
            </w:r>
            <w:r>
              <w:rPr>
                <w:rFonts w:hint="eastAsia" w:ascii="仿宋_GB2312" w:hAnsi="仿宋" w:eastAsia="仿宋_GB2312" w:cs="仿宋_GB2312"/>
                <w:color w:val="000000"/>
                <w:spacing w:val="-30"/>
                <w:sz w:val="24"/>
                <w:szCs w:val="24"/>
              </w:rPr>
              <w:t>〕</w:t>
            </w:r>
            <w:r>
              <w:rPr>
                <w:rFonts w:ascii="仿宋_GB2312" w:hAnsi="仿宋" w:eastAsia="仿宋_GB2312" w:cs="仿宋_GB2312"/>
                <w:color w:val="000000"/>
                <w:spacing w:val="-30"/>
                <w:sz w:val="24"/>
                <w:szCs w:val="24"/>
              </w:rPr>
              <w:t>490</w:t>
            </w:r>
            <w:r>
              <w:rPr>
                <w:rFonts w:hint="eastAsia" w:ascii="仿宋_GB2312" w:hAnsi="仿宋" w:eastAsia="仿宋_GB2312" w:cs="仿宋_GB2312"/>
                <w:color w:val="000000"/>
                <w:spacing w:val="-30"/>
                <w:sz w:val="24"/>
                <w:szCs w:val="24"/>
              </w:rPr>
              <w:t>号）</w:t>
            </w:r>
          </w:p>
        </w:tc>
        <w:tc>
          <w:tcPr>
            <w:tcW w:w="1224" w:type="dxa"/>
            <w:vMerge w:val="restart"/>
            <w:vAlign w:val="center"/>
          </w:tcPr>
          <w:p>
            <w:pPr>
              <w:kinsoku w:val="0"/>
              <w:overflowPunct w:val="0"/>
              <w:autoSpaceDE w:val="0"/>
              <w:autoSpaceDN w:val="0"/>
              <w:adjustRightInd w:val="0"/>
              <w:snapToGrid w:val="0"/>
              <w:spacing w:line="32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公安分局</w:t>
            </w:r>
          </w:p>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8" w:hRule="atLeast"/>
        </w:trPr>
        <w:tc>
          <w:tcPr>
            <w:tcW w:w="702" w:type="dxa"/>
            <w:vAlign w:val="center"/>
          </w:tcPr>
          <w:p>
            <w:pPr>
              <w:kinsoku w:val="0"/>
              <w:overflowPunct w:val="0"/>
              <w:autoSpaceDE w:val="0"/>
              <w:autoSpaceDN w:val="0"/>
              <w:adjustRightInd w:val="0"/>
              <w:snapToGrid w:val="0"/>
              <w:spacing w:line="280" w:lineRule="exact"/>
              <w:jc w:val="center"/>
              <w:rPr>
                <w:rFonts w:hint="eastAsia" w:ascii="仿宋_GB2312" w:hAnsi="仿宋" w:eastAsia="仿宋_GB2312" w:cs="仿宋_GB2312"/>
                <w:color w:val="000000"/>
                <w:spacing w:val="-30"/>
                <w:sz w:val="24"/>
                <w:szCs w:val="24"/>
                <w:lang w:eastAsia="zh-CN"/>
              </w:rPr>
            </w:pPr>
            <w:r>
              <w:rPr>
                <w:rFonts w:hint="eastAsia" w:ascii="仿宋_GB2312" w:hAnsi="仿宋" w:eastAsia="仿宋_GB2312" w:cs="仿宋_GB2312"/>
                <w:color w:val="000000"/>
                <w:spacing w:val="-30"/>
                <w:sz w:val="24"/>
                <w:szCs w:val="24"/>
                <w:lang w:val="en-US" w:eastAsia="zh-CN"/>
              </w:rPr>
              <w:t>9</w:t>
            </w:r>
          </w:p>
        </w:tc>
        <w:tc>
          <w:tcPr>
            <w:tcW w:w="1228"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易制毒化学品相关单位安全检查</w:t>
            </w:r>
          </w:p>
        </w:tc>
        <w:tc>
          <w:tcPr>
            <w:tcW w:w="3568" w:type="dxa"/>
            <w:vAlign w:val="center"/>
          </w:tcPr>
          <w:p>
            <w:pPr>
              <w:kinsoku w:val="0"/>
              <w:overflowPunct w:val="0"/>
              <w:autoSpaceDE w:val="0"/>
              <w:autoSpaceDN w:val="0"/>
              <w:adjustRightInd w:val="0"/>
              <w:snapToGrid w:val="0"/>
              <w:spacing w:line="260" w:lineRule="exact"/>
              <w:rPr>
                <w:rFonts w:ascii="仿宋_GB2312" w:hAnsi="仿宋" w:eastAsia="仿宋_GB2312"/>
                <w:color w:val="000000"/>
                <w:spacing w:val="-30"/>
                <w:sz w:val="24"/>
                <w:szCs w:val="24"/>
              </w:rPr>
            </w:pPr>
            <w:r>
              <w:rPr>
                <w:rFonts w:ascii="仿宋_GB2312" w:hAnsi="仿宋" w:eastAsia="仿宋_GB2312" w:cs="仿宋_GB2312"/>
                <w:color w:val="000000"/>
                <w:spacing w:val="-30"/>
                <w:sz w:val="24"/>
                <w:szCs w:val="24"/>
              </w:rPr>
              <w:t>1.</w:t>
            </w:r>
            <w:r>
              <w:rPr>
                <w:rFonts w:hint="eastAsia" w:ascii="仿宋_GB2312" w:hAnsi="仿宋" w:eastAsia="仿宋_GB2312" w:cs="仿宋_GB2312"/>
                <w:color w:val="000000"/>
                <w:spacing w:val="-30"/>
                <w:sz w:val="24"/>
                <w:szCs w:val="24"/>
              </w:rPr>
              <w:t>易制毒化学品的购买备案证明、销售台账和运输许可证明及登记制度落实；</w:t>
            </w:r>
            <w:r>
              <w:rPr>
                <w:rFonts w:ascii="仿宋_GB2312" w:hAnsi="仿宋" w:eastAsia="仿宋_GB2312" w:cs="仿宋_GB2312"/>
                <w:color w:val="000000"/>
                <w:spacing w:val="-30"/>
                <w:sz w:val="24"/>
                <w:szCs w:val="24"/>
              </w:rPr>
              <w:t>2.</w:t>
            </w:r>
            <w:r>
              <w:rPr>
                <w:rFonts w:hint="eastAsia" w:ascii="仿宋_GB2312" w:hAnsi="仿宋" w:eastAsia="仿宋_GB2312" w:cs="仿宋_GB2312"/>
                <w:color w:val="000000"/>
                <w:spacing w:val="-30"/>
                <w:sz w:val="24"/>
                <w:szCs w:val="24"/>
              </w:rPr>
              <w:t>内部安全管理制度的建立和落实；</w:t>
            </w:r>
            <w:r>
              <w:rPr>
                <w:rFonts w:ascii="仿宋_GB2312" w:hAnsi="仿宋" w:eastAsia="仿宋_GB2312" w:cs="仿宋_GB2312"/>
                <w:color w:val="000000"/>
                <w:spacing w:val="-30"/>
                <w:sz w:val="24"/>
                <w:szCs w:val="24"/>
              </w:rPr>
              <w:t>3.</w:t>
            </w:r>
            <w:r>
              <w:rPr>
                <w:rFonts w:hint="eastAsia" w:ascii="仿宋_GB2312" w:hAnsi="仿宋" w:eastAsia="仿宋_GB2312" w:cs="仿宋_GB2312"/>
                <w:color w:val="000000"/>
                <w:spacing w:val="-30"/>
                <w:sz w:val="24"/>
                <w:szCs w:val="24"/>
              </w:rPr>
              <w:t>仓储的出入库登记和人防、物防、技防落实；</w:t>
            </w:r>
            <w:r>
              <w:rPr>
                <w:rFonts w:ascii="仿宋_GB2312" w:hAnsi="仿宋" w:eastAsia="仿宋_GB2312" w:cs="仿宋_GB2312"/>
                <w:color w:val="000000"/>
                <w:spacing w:val="-30"/>
                <w:sz w:val="24"/>
                <w:szCs w:val="24"/>
              </w:rPr>
              <w:t>4.</w:t>
            </w:r>
            <w:r>
              <w:rPr>
                <w:rFonts w:hint="eastAsia" w:ascii="仿宋_GB2312" w:hAnsi="仿宋" w:eastAsia="仿宋_GB2312" w:cs="仿宋_GB2312"/>
                <w:color w:val="000000"/>
                <w:spacing w:val="-30"/>
                <w:sz w:val="24"/>
                <w:szCs w:val="24"/>
              </w:rPr>
              <w:t>现场使用情况的检查。</w:t>
            </w:r>
          </w:p>
        </w:tc>
        <w:tc>
          <w:tcPr>
            <w:tcW w:w="1283" w:type="dxa"/>
            <w:tcBorders>
              <w:bottom w:val="single" w:color="auto" w:sz="4" w:space="0"/>
            </w:tcBorders>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易制毒化学品相关单位</w:t>
            </w:r>
          </w:p>
        </w:tc>
        <w:tc>
          <w:tcPr>
            <w:tcW w:w="1283" w:type="dxa"/>
            <w:tcBorders>
              <w:bottom w:val="single" w:color="auto" w:sz="4" w:space="0"/>
            </w:tcBorders>
            <w:vAlign w:val="center"/>
          </w:tcPr>
          <w:p>
            <w:pPr>
              <w:spacing w:line="280" w:lineRule="exact"/>
              <w:jc w:val="center"/>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重点</w:t>
            </w:r>
          </w:p>
          <w:p>
            <w:pPr>
              <w:spacing w:line="280" w:lineRule="exact"/>
              <w:jc w:val="center"/>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检查事项</w:t>
            </w:r>
          </w:p>
        </w:tc>
        <w:tc>
          <w:tcPr>
            <w:tcW w:w="126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30"/>
                <w:sz w:val="24"/>
                <w:szCs w:val="24"/>
              </w:rPr>
            </w:pPr>
            <w:r>
              <w:rPr>
                <w:rFonts w:hint="eastAsia" w:ascii="仿宋_GB2312" w:eastAsia="仿宋_GB2312" w:cs="仿宋_GB2312"/>
                <w:color w:val="000000"/>
                <w:spacing w:val="-20"/>
                <w:sz w:val="24"/>
                <w:szCs w:val="24"/>
              </w:rPr>
              <w:t>书面检查、实地核查、</w:t>
            </w:r>
            <w:r>
              <w:rPr>
                <w:rFonts w:hint="eastAsia" w:ascii="仿宋_GB2312" w:hAnsi="仿宋" w:eastAsia="仿宋_GB2312" w:cs="仿宋_GB2312"/>
                <w:color w:val="000000"/>
                <w:spacing w:val="-20"/>
                <w:sz w:val="24"/>
                <w:szCs w:val="24"/>
              </w:rPr>
              <w:t>网络监测</w:t>
            </w:r>
          </w:p>
        </w:tc>
        <w:tc>
          <w:tcPr>
            <w:tcW w:w="4407" w:type="dxa"/>
            <w:tcBorders>
              <w:bottom w:val="single" w:color="auto" w:sz="4" w:space="0"/>
            </w:tcBorders>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《易制毒化学品管理条例》第三条、《易制毒化学品购销和运输管理办法》（公安部令第</w:t>
            </w:r>
            <w:r>
              <w:rPr>
                <w:rFonts w:ascii="仿宋_GB2312" w:hAnsi="仿宋" w:eastAsia="仿宋_GB2312" w:cs="仿宋_GB2312"/>
                <w:color w:val="000000"/>
                <w:spacing w:val="-30"/>
                <w:sz w:val="24"/>
                <w:szCs w:val="24"/>
              </w:rPr>
              <w:t>87</w:t>
            </w:r>
            <w:r>
              <w:rPr>
                <w:rFonts w:hint="eastAsia" w:ascii="仿宋_GB2312" w:hAnsi="仿宋" w:eastAsia="仿宋_GB2312" w:cs="仿宋_GB2312"/>
                <w:color w:val="000000"/>
                <w:spacing w:val="-30"/>
                <w:sz w:val="24"/>
                <w:szCs w:val="24"/>
              </w:rPr>
              <w:t>号）第二条</w:t>
            </w:r>
          </w:p>
        </w:tc>
        <w:tc>
          <w:tcPr>
            <w:tcW w:w="1224" w:type="dxa"/>
            <w:vMerge w:val="continue"/>
            <w:tcBorders>
              <w:bottom w:val="single" w:color="auto" w:sz="4" w:space="0"/>
            </w:tcBorders>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2" w:hRule="atLeast"/>
        </w:trPr>
        <w:tc>
          <w:tcPr>
            <w:tcW w:w="702" w:type="dxa"/>
            <w:vAlign w:val="center"/>
          </w:tcPr>
          <w:p>
            <w:pPr>
              <w:spacing w:line="280" w:lineRule="exact"/>
              <w:jc w:val="center"/>
              <w:rPr>
                <w:rFonts w:hint="default" w:ascii="仿宋_GB2312" w:hAnsi="仿宋" w:eastAsia="仿宋_GB2312" w:cs="仿宋_GB2312"/>
                <w:color w:val="000000"/>
                <w:spacing w:val="-30"/>
                <w:sz w:val="24"/>
                <w:szCs w:val="24"/>
                <w:lang w:val="en-US" w:eastAsia="zh-CN"/>
              </w:rPr>
            </w:pPr>
            <w:r>
              <w:rPr>
                <w:rFonts w:hint="eastAsia" w:ascii="仿宋_GB2312" w:hAnsi="仿宋" w:eastAsia="仿宋_GB2312" w:cs="仿宋_GB2312"/>
                <w:color w:val="000000"/>
                <w:spacing w:val="-30"/>
                <w:sz w:val="24"/>
                <w:szCs w:val="24"/>
                <w:lang w:val="en-US" w:eastAsia="zh-CN"/>
              </w:rPr>
              <w:t>10</w:t>
            </w:r>
          </w:p>
        </w:tc>
        <w:tc>
          <w:tcPr>
            <w:tcW w:w="1228" w:type="dxa"/>
            <w:vAlign w:val="center"/>
          </w:tcPr>
          <w:p>
            <w:pPr>
              <w:spacing w:line="280" w:lineRule="exact"/>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对民用枪支弹药从业单位的安全监督检查</w:t>
            </w:r>
          </w:p>
        </w:tc>
        <w:tc>
          <w:tcPr>
            <w:tcW w:w="3568" w:type="dxa"/>
            <w:vAlign w:val="center"/>
          </w:tcPr>
          <w:p>
            <w:pPr>
              <w:spacing w:line="280" w:lineRule="exact"/>
              <w:rPr>
                <w:rFonts w:ascii="仿宋_GB2312" w:hAnsi="仿宋" w:eastAsia="仿宋_GB2312"/>
                <w:color w:val="000000"/>
                <w:spacing w:val="-30"/>
                <w:sz w:val="24"/>
                <w:szCs w:val="24"/>
              </w:rPr>
            </w:pPr>
            <w:r>
              <w:rPr>
                <w:rFonts w:ascii="仿宋_GB2312" w:hAnsi="仿宋" w:eastAsia="仿宋_GB2312" w:cs="仿宋_GB2312"/>
                <w:color w:val="000000"/>
                <w:spacing w:val="-30"/>
                <w:sz w:val="24"/>
                <w:szCs w:val="24"/>
              </w:rPr>
              <w:t>1.</w:t>
            </w:r>
            <w:r>
              <w:rPr>
                <w:rFonts w:hint="eastAsia" w:ascii="仿宋_GB2312" w:hAnsi="仿宋" w:eastAsia="仿宋_GB2312" w:cs="仿宋_GB2312"/>
                <w:color w:val="000000"/>
                <w:spacing w:val="-30"/>
                <w:sz w:val="24"/>
                <w:szCs w:val="24"/>
              </w:rPr>
              <w:t>配枪数量、种类、来源；</w:t>
            </w:r>
            <w:r>
              <w:rPr>
                <w:rFonts w:ascii="仿宋_GB2312" w:hAnsi="仿宋" w:eastAsia="仿宋_GB2312" w:cs="仿宋_GB2312"/>
                <w:color w:val="000000"/>
                <w:spacing w:val="-30"/>
                <w:sz w:val="24"/>
                <w:szCs w:val="24"/>
              </w:rPr>
              <w:t>2</w:t>
            </w:r>
            <w:r>
              <w:rPr>
                <w:rFonts w:hint="eastAsia" w:ascii="仿宋_GB2312" w:hAnsi="仿宋" w:eastAsia="仿宋_GB2312" w:cs="仿宋_GB2312"/>
                <w:color w:val="000000"/>
                <w:spacing w:val="-30"/>
                <w:sz w:val="24"/>
                <w:szCs w:val="24"/>
              </w:rPr>
              <w:t>、配枪人员条件、培训情况；</w:t>
            </w:r>
            <w:r>
              <w:rPr>
                <w:rFonts w:ascii="仿宋_GB2312" w:hAnsi="仿宋" w:eastAsia="仿宋_GB2312" w:cs="仿宋_GB2312"/>
                <w:color w:val="000000"/>
                <w:spacing w:val="-30"/>
                <w:sz w:val="24"/>
                <w:szCs w:val="24"/>
              </w:rPr>
              <w:t>3</w:t>
            </w:r>
            <w:r>
              <w:rPr>
                <w:rFonts w:hint="eastAsia" w:ascii="仿宋_GB2312" w:hAnsi="仿宋" w:eastAsia="仿宋_GB2312" w:cs="仿宋_GB2312"/>
                <w:color w:val="000000"/>
                <w:spacing w:val="-30"/>
                <w:sz w:val="24"/>
                <w:szCs w:val="24"/>
              </w:rPr>
              <w:t>、枪弹库（室）情况；</w:t>
            </w:r>
            <w:r>
              <w:rPr>
                <w:rFonts w:ascii="仿宋_GB2312" w:hAnsi="仿宋" w:eastAsia="仿宋_GB2312" w:cs="仿宋_GB2312"/>
                <w:color w:val="000000"/>
                <w:spacing w:val="-30"/>
                <w:sz w:val="24"/>
                <w:szCs w:val="24"/>
              </w:rPr>
              <w:t>4</w:t>
            </w:r>
            <w:r>
              <w:rPr>
                <w:rFonts w:hint="eastAsia" w:ascii="仿宋_GB2312" w:hAnsi="仿宋" w:eastAsia="仿宋_GB2312" w:cs="仿宋_GB2312"/>
                <w:color w:val="000000"/>
                <w:spacing w:val="-30"/>
                <w:sz w:val="24"/>
                <w:szCs w:val="24"/>
              </w:rPr>
              <w:t>、枪支管理各项制度落实情况；</w:t>
            </w:r>
            <w:r>
              <w:rPr>
                <w:rFonts w:ascii="仿宋_GB2312" w:hAnsi="仿宋" w:eastAsia="仿宋_GB2312" w:cs="仿宋_GB2312"/>
                <w:color w:val="000000"/>
                <w:spacing w:val="-30"/>
                <w:sz w:val="24"/>
                <w:szCs w:val="24"/>
              </w:rPr>
              <w:t>5</w:t>
            </w:r>
            <w:r>
              <w:rPr>
                <w:rFonts w:hint="eastAsia" w:ascii="仿宋_GB2312" w:hAnsi="仿宋" w:eastAsia="仿宋_GB2312" w:cs="仿宋_GB2312"/>
                <w:color w:val="000000"/>
                <w:spacing w:val="-30"/>
                <w:sz w:val="24"/>
                <w:szCs w:val="24"/>
              </w:rPr>
              <w:t>、枪支、弹药使用情况；</w:t>
            </w:r>
            <w:r>
              <w:rPr>
                <w:rFonts w:ascii="仿宋_GB2312" w:hAnsi="仿宋" w:eastAsia="仿宋_GB2312" w:cs="仿宋_GB2312"/>
                <w:color w:val="000000"/>
                <w:spacing w:val="-30"/>
                <w:sz w:val="24"/>
                <w:szCs w:val="24"/>
              </w:rPr>
              <w:t>6</w:t>
            </w:r>
            <w:r>
              <w:rPr>
                <w:rFonts w:hint="eastAsia" w:ascii="仿宋_GB2312" w:hAnsi="仿宋" w:eastAsia="仿宋_GB2312" w:cs="仿宋_GB2312"/>
                <w:color w:val="000000"/>
                <w:spacing w:val="-30"/>
                <w:sz w:val="24"/>
                <w:szCs w:val="24"/>
              </w:rPr>
              <w:t>、其他需要检查的项目</w:t>
            </w:r>
          </w:p>
        </w:tc>
        <w:tc>
          <w:tcPr>
            <w:tcW w:w="1283" w:type="dxa"/>
            <w:tcBorders>
              <w:top w:val="single" w:color="auto" w:sz="4" w:space="0"/>
            </w:tcBorders>
            <w:vAlign w:val="center"/>
          </w:tcPr>
          <w:p>
            <w:pPr>
              <w:spacing w:line="280" w:lineRule="exact"/>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营业性射击场所、民用枪支弹药从业单位</w:t>
            </w:r>
          </w:p>
        </w:tc>
        <w:tc>
          <w:tcPr>
            <w:tcW w:w="1283" w:type="dxa"/>
            <w:tcBorders>
              <w:top w:val="single" w:color="auto" w:sz="4" w:space="0"/>
            </w:tcBorders>
            <w:vAlign w:val="center"/>
          </w:tcPr>
          <w:p>
            <w:pPr>
              <w:spacing w:line="280" w:lineRule="exact"/>
              <w:jc w:val="center"/>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重点</w:t>
            </w:r>
          </w:p>
          <w:p>
            <w:pPr>
              <w:spacing w:line="280" w:lineRule="exact"/>
              <w:jc w:val="center"/>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检查事项</w:t>
            </w:r>
          </w:p>
        </w:tc>
        <w:tc>
          <w:tcPr>
            <w:tcW w:w="1267" w:type="dxa"/>
            <w:tcBorders>
              <w:bottom w:val="single" w:color="auto" w:sz="4" w:space="0"/>
            </w:tcBorders>
            <w:vAlign w:val="center"/>
          </w:tcPr>
          <w:p>
            <w:pPr>
              <w:spacing w:line="280" w:lineRule="exact"/>
              <w:jc w:val="center"/>
              <w:rPr>
                <w:rFonts w:ascii="仿宋_GB2312" w:hAnsi="仿宋" w:eastAsia="仿宋_GB2312"/>
                <w:color w:val="000000"/>
                <w:spacing w:val="-30"/>
                <w:sz w:val="24"/>
                <w:szCs w:val="24"/>
              </w:rPr>
            </w:pPr>
            <w:r>
              <w:rPr>
                <w:rFonts w:hint="eastAsia" w:ascii="仿宋_GB2312" w:eastAsia="仿宋_GB2312" w:cs="仿宋_GB2312"/>
                <w:color w:val="000000"/>
                <w:spacing w:val="-20"/>
                <w:sz w:val="24"/>
                <w:szCs w:val="24"/>
              </w:rPr>
              <w:t>书面检查、实地核查、</w:t>
            </w:r>
            <w:r>
              <w:rPr>
                <w:rFonts w:hint="eastAsia" w:ascii="仿宋_GB2312" w:hAnsi="仿宋" w:eastAsia="仿宋_GB2312" w:cs="仿宋_GB2312"/>
                <w:color w:val="000000"/>
                <w:spacing w:val="-20"/>
                <w:sz w:val="24"/>
                <w:szCs w:val="24"/>
              </w:rPr>
              <w:t>网络监测</w:t>
            </w:r>
          </w:p>
        </w:tc>
        <w:tc>
          <w:tcPr>
            <w:tcW w:w="4407" w:type="dxa"/>
            <w:tcBorders>
              <w:top w:val="single" w:color="auto" w:sz="4" w:space="0"/>
              <w:bottom w:val="single" w:color="auto" w:sz="4" w:space="0"/>
            </w:tcBorders>
            <w:vAlign w:val="center"/>
          </w:tcPr>
          <w:p>
            <w:pPr>
              <w:spacing w:line="280" w:lineRule="exact"/>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《枪支管理法》第四条，县级以上地方各级人民政府公安机关主管本行政区域内的枪支管理工作。</w:t>
            </w:r>
          </w:p>
        </w:tc>
        <w:tc>
          <w:tcPr>
            <w:tcW w:w="1224" w:type="dxa"/>
            <w:tcBorders>
              <w:top w:val="single" w:color="auto" w:sz="4" w:space="0"/>
              <w:bottom w:val="single" w:color="auto" w:sz="4" w:space="0"/>
            </w:tcBorders>
            <w:vAlign w:val="center"/>
          </w:tcPr>
          <w:p>
            <w:pPr>
              <w:jc w:val="center"/>
              <w:rPr>
                <w:rFonts w:ascii="宋体"/>
                <w:b/>
                <w:bCs/>
                <w:color w:val="000000"/>
                <w:sz w:val="24"/>
                <w:szCs w:val="24"/>
              </w:rPr>
            </w:pPr>
            <w:r>
              <w:rPr>
                <w:rFonts w:hint="eastAsia" w:ascii="仿宋_GB2312" w:hAnsi="仿宋" w:eastAsia="仿宋_GB2312" w:cs="仿宋_GB2312"/>
                <w:color w:val="000000"/>
                <w:spacing w:val="-20"/>
                <w:sz w:val="24"/>
                <w:szCs w:val="24"/>
              </w:rPr>
              <w:t>公安分局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7" w:hRule="atLeast"/>
        </w:trPr>
        <w:tc>
          <w:tcPr>
            <w:tcW w:w="702" w:type="dxa"/>
            <w:vAlign w:val="center"/>
          </w:tcPr>
          <w:p>
            <w:pPr>
              <w:spacing w:line="280" w:lineRule="exact"/>
              <w:jc w:val="center"/>
              <w:rPr>
                <w:rFonts w:hint="eastAsia" w:ascii="仿宋_GB2312" w:hAnsi="仿宋" w:eastAsia="仿宋_GB2312" w:cs="仿宋_GB2312"/>
                <w:color w:val="000000"/>
                <w:spacing w:val="-30"/>
                <w:sz w:val="24"/>
                <w:szCs w:val="24"/>
                <w:lang w:val="en-US" w:eastAsia="zh-CN"/>
              </w:rPr>
            </w:pPr>
            <w:r>
              <w:rPr>
                <w:rFonts w:ascii="仿宋_GB2312" w:hAnsi="仿宋" w:eastAsia="仿宋_GB2312" w:cs="仿宋_GB2312"/>
                <w:color w:val="000000"/>
                <w:spacing w:val="-30"/>
                <w:sz w:val="24"/>
                <w:szCs w:val="24"/>
              </w:rPr>
              <w:t>1</w:t>
            </w:r>
            <w:r>
              <w:rPr>
                <w:rFonts w:hint="eastAsia" w:ascii="仿宋_GB2312" w:hAnsi="仿宋" w:eastAsia="仿宋_GB2312" w:cs="仿宋_GB2312"/>
                <w:color w:val="000000"/>
                <w:spacing w:val="-30"/>
                <w:sz w:val="24"/>
                <w:szCs w:val="24"/>
                <w:lang w:val="en-US" w:eastAsia="zh-CN"/>
              </w:rPr>
              <w:t>1</w:t>
            </w:r>
          </w:p>
        </w:tc>
        <w:tc>
          <w:tcPr>
            <w:tcW w:w="1228" w:type="dxa"/>
            <w:vAlign w:val="center"/>
          </w:tcPr>
          <w:p>
            <w:pPr>
              <w:spacing w:line="280" w:lineRule="exact"/>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大型焰火燃放作业单位、作业人员安全监督检查</w:t>
            </w:r>
          </w:p>
        </w:tc>
        <w:tc>
          <w:tcPr>
            <w:tcW w:w="3568" w:type="dxa"/>
            <w:vAlign w:val="center"/>
          </w:tcPr>
          <w:p>
            <w:pPr>
              <w:spacing w:line="280" w:lineRule="exact"/>
              <w:rPr>
                <w:rFonts w:ascii="仿宋_GB2312" w:hAnsi="仿宋" w:eastAsia="仿宋_GB2312"/>
                <w:color w:val="000000"/>
                <w:spacing w:val="-30"/>
                <w:sz w:val="24"/>
                <w:szCs w:val="24"/>
              </w:rPr>
            </w:pPr>
            <w:r>
              <w:rPr>
                <w:rFonts w:ascii="仿宋_GB2312" w:hAnsi="仿宋" w:eastAsia="仿宋_GB2312" w:cs="仿宋_GB2312"/>
                <w:color w:val="000000"/>
                <w:spacing w:val="-30"/>
                <w:sz w:val="24"/>
                <w:szCs w:val="24"/>
              </w:rPr>
              <w:t>1.</w:t>
            </w:r>
            <w:r>
              <w:rPr>
                <w:rFonts w:hint="eastAsia" w:ascii="仿宋_GB2312" w:hAnsi="仿宋" w:eastAsia="仿宋_GB2312" w:cs="仿宋_GB2312"/>
                <w:color w:val="000000"/>
                <w:spacing w:val="-30"/>
                <w:sz w:val="24"/>
                <w:szCs w:val="24"/>
              </w:rPr>
              <w:t>大型焰火燃放作业单位、作业人员是否依法依规组织开展相关从业活动情况；</w:t>
            </w:r>
            <w:r>
              <w:rPr>
                <w:rFonts w:ascii="仿宋_GB2312" w:hAnsi="仿宋" w:eastAsia="仿宋_GB2312" w:cs="仿宋_GB2312"/>
                <w:color w:val="000000"/>
                <w:spacing w:val="-30"/>
                <w:sz w:val="24"/>
                <w:szCs w:val="24"/>
              </w:rPr>
              <w:t>2.</w:t>
            </w:r>
            <w:r>
              <w:rPr>
                <w:rFonts w:hint="eastAsia" w:ascii="仿宋_GB2312" w:hAnsi="仿宋" w:eastAsia="仿宋_GB2312" w:cs="仿宋_GB2312"/>
                <w:color w:val="000000"/>
                <w:spacing w:val="-30"/>
                <w:sz w:val="24"/>
                <w:szCs w:val="24"/>
              </w:rPr>
              <w:t>大型焰火燃放作业单位是否建立健全各项安全管理制度，落实人防、物防、技防等安全防范措施；</w:t>
            </w:r>
            <w:r>
              <w:rPr>
                <w:rFonts w:ascii="仿宋_GB2312" w:hAnsi="仿宋" w:eastAsia="仿宋_GB2312" w:cs="仿宋_GB2312"/>
                <w:color w:val="000000"/>
                <w:spacing w:val="-30"/>
                <w:sz w:val="24"/>
                <w:szCs w:val="24"/>
              </w:rPr>
              <w:t>3.</w:t>
            </w:r>
            <w:r>
              <w:rPr>
                <w:rFonts w:hint="eastAsia" w:ascii="仿宋_GB2312" w:hAnsi="仿宋" w:eastAsia="仿宋_GB2312" w:cs="仿宋_GB2312"/>
                <w:color w:val="000000"/>
                <w:spacing w:val="-30"/>
                <w:sz w:val="24"/>
                <w:szCs w:val="24"/>
              </w:rPr>
              <w:t>大型焰火燃放作业单位、作业人员的资质条件是否发生变化，是否存在应当变更、撤销、注销等情形。</w:t>
            </w:r>
          </w:p>
        </w:tc>
        <w:tc>
          <w:tcPr>
            <w:tcW w:w="1283" w:type="dxa"/>
            <w:vAlign w:val="center"/>
          </w:tcPr>
          <w:p>
            <w:pPr>
              <w:spacing w:line="280" w:lineRule="exact"/>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大型焰火燃放作业单位</w:t>
            </w:r>
          </w:p>
        </w:tc>
        <w:tc>
          <w:tcPr>
            <w:tcW w:w="1283" w:type="dxa"/>
            <w:vAlign w:val="center"/>
          </w:tcPr>
          <w:p>
            <w:pPr>
              <w:spacing w:line="280" w:lineRule="exact"/>
              <w:jc w:val="center"/>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重点</w:t>
            </w:r>
          </w:p>
          <w:p>
            <w:pPr>
              <w:spacing w:line="280" w:lineRule="exact"/>
              <w:jc w:val="center"/>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检查事项</w:t>
            </w:r>
          </w:p>
        </w:tc>
        <w:tc>
          <w:tcPr>
            <w:tcW w:w="1267" w:type="dxa"/>
            <w:tcBorders>
              <w:top w:val="single" w:color="auto" w:sz="4" w:space="0"/>
            </w:tcBorders>
            <w:vAlign w:val="center"/>
          </w:tcPr>
          <w:p>
            <w:pPr>
              <w:spacing w:line="280" w:lineRule="exact"/>
              <w:rPr>
                <w:rFonts w:ascii="仿宋_GB2312" w:hAnsi="仿宋" w:eastAsia="仿宋_GB2312"/>
                <w:color w:val="000000"/>
                <w:spacing w:val="-30"/>
                <w:sz w:val="24"/>
                <w:szCs w:val="24"/>
              </w:rPr>
            </w:pPr>
            <w:r>
              <w:rPr>
                <w:rFonts w:hint="eastAsia" w:ascii="仿宋_GB2312" w:eastAsia="仿宋_GB2312" w:cs="仿宋_GB2312"/>
                <w:color w:val="000000"/>
                <w:spacing w:val="-20"/>
                <w:sz w:val="24"/>
                <w:szCs w:val="24"/>
              </w:rPr>
              <w:t>书面检查、实地核查、</w:t>
            </w:r>
            <w:r>
              <w:rPr>
                <w:rFonts w:hint="eastAsia" w:ascii="仿宋_GB2312" w:hAnsi="仿宋" w:eastAsia="仿宋_GB2312" w:cs="仿宋_GB2312"/>
                <w:color w:val="000000"/>
                <w:spacing w:val="-20"/>
                <w:sz w:val="24"/>
                <w:szCs w:val="24"/>
              </w:rPr>
              <w:t>网络监测</w:t>
            </w:r>
          </w:p>
        </w:tc>
        <w:tc>
          <w:tcPr>
            <w:tcW w:w="4407" w:type="dxa"/>
            <w:tcBorders>
              <w:top w:val="single" w:color="auto" w:sz="4" w:space="0"/>
            </w:tcBorders>
            <w:vAlign w:val="center"/>
          </w:tcPr>
          <w:p>
            <w:pPr>
              <w:spacing w:line="280" w:lineRule="exact"/>
              <w:rPr>
                <w:rFonts w:ascii="仿宋_GB2312" w:hAnsi="仿宋" w:eastAsia="仿宋_GB2312"/>
                <w:color w:val="000000"/>
                <w:spacing w:val="-30"/>
                <w:sz w:val="24"/>
                <w:szCs w:val="24"/>
              </w:rPr>
            </w:pPr>
            <w:r>
              <w:rPr>
                <w:rFonts w:hint="eastAsia" w:ascii="仿宋_GB2312" w:hAnsi="仿宋" w:eastAsia="仿宋_GB2312" w:cs="仿宋_GB2312"/>
                <w:color w:val="000000"/>
                <w:spacing w:val="-30"/>
                <w:sz w:val="24"/>
                <w:szCs w:val="24"/>
              </w:rPr>
              <w:t>《烟花爆竹安全管理条例》（国务院第</w:t>
            </w:r>
            <w:r>
              <w:rPr>
                <w:rFonts w:ascii="仿宋_GB2312" w:hAnsi="仿宋" w:eastAsia="仿宋_GB2312" w:cs="仿宋_GB2312"/>
                <w:color w:val="000000"/>
                <w:spacing w:val="-30"/>
                <w:sz w:val="24"/>
                <w:szCs w:val="24"/>
              </w:rPr>
              <w:t>455</w:t>
            </w:r>
            <w:r>
              <w:rPr>
                <w:rFonts w:hint="eastAsia" w:ascii="仿宋_GB2312" w:hAnsi="仿宋" w:eastAsia="仿宋_GB2312" w:cs="仿宋_GB2312"/>
                <w:color w:val="000000"/>
                <w:spacing w:val="-30"/>
                <w:sz w:val="24"/>
                <w:szCs w:val="24"/>
              </w:rPr>
              <w:t>号令）第四条、《大型焰火燃放作业单位资质条件及管理》、《大型焰火燃放作业人员资格条件及管理》</w:t>
            </w:r>
          </w:p>
        </w:tc>
        <w:tc>
          <w:tcPr>
            <w:tcW w:w="1224" w:type="dxa"/>
            <w:tcBorders>
              <w:top w:val="single" w:color="auto" w:sz="4" w:space="0"/>
            </w:tcBorders>
            <w:vAlign w:val="center"/>
          </w:tcPr>
          <w:p>
            <w:pPr>
              <w:jc w:val="center"/>
              <w:rPr>
                <w:rFonts w:ascii="宋体"/>
                <w:b/>
                <w:bCs/>
                <w:color w:val="000000"/>
                <w:sz w:val="24"/>
                <w:szCs w:val="24"/>
              </w:rPr>
            </w:pPr>
            <w:r>
              <w:rPr>
                <w:rFonts w:hint="eastAsia" w:ascii="仿宋_GB2312" w:hAnsi="仿宋" w:eastAsia="仿宋_GB2312" w:cs="仿宋_GB2312"/>
                <w:color w:val="000000"/>
                <w:spacing w:val="-20"/>
                <w:sz w:val="24"/>
                <w:szCs w:val="24"/>
              </w:rPr>
              <w:t>公安分局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3" w:hRule="atLeast"/>
        </w:trPr>
        <w:tc>
          <w:tcPr>
            <w:tcW w:w="702" w:type="dxa"/>
            <w:vAlign w:val="center"/>
          </w:tcPr>
          <w:p>
            <w:pPr>
              <w:kinsoku w:val="0"/>
              <w:overflowPunct w:val="0"/>
              <w:autoSpaceDE w:val="0"/>
              <w:autoSpaceDN w:val="0"/>
              <w:adjustRightInd w:val="0"/>
              <w:snapToGrid w:val="0"/>
              <w:spacing w:line="360" w:lineRule="exact"/>
              <w:jc w:val="center"/>
              <w:rPr>
                <w:rFonts w:hint="eastAsia" w:ascii="仿宋_GB2312" w:hAnsi="宋体" w:eastAsia="仿宋_GB2312" w:cs="仿宋_GB2312"/>
                <w:color w:val="000000"/>
                <w:spacing w:val="-20"/>
                <w:sz w:val="24"/>
                <w:szCs w:val="24"/>
                <w:lang w:val="en-US" w:eastAsia="zh-CN"/>
              </w:rPr>
            </w:pPr>
            <w:r>
              <w:rPr>
                <w:rFonts w:ascii="仿宋_GB2312" w:hAnsi="宋体" w:eastAsia="仿宋_GB2312" w:cs="仿宋_GB2312"/>
                <w:color w:val="000000"/>
                <w:spacing w:val="-20"/>
                <w:sz w:val="24"/>
                <w:szCs w:val="24"/>
              </w:rPr>
              <w:t>1</w:t>
            </w:r>
            <w:r>
              <w:rPr>
                <w:rFonts w:hint="eastAsia" w:ascii="仿宋_GB2312" w:hAnsi="宋体" w:eastAsia="仿宋_GB2312" w:cs="仿宋_GB2312"/>
                <w:color w:val="000000"/>
                <w:spacing w:val="-20"/>
                <w:sz w:val="24"/>
                <w:szCs w:val="24"/>
                <w:lang w:val="en-US" w:eastAsia="zh-CN"/>
              </w:rPr>
              <w:t>2</w:t>
            </w:r>
          </w:p>
          <w:p>
            <w:pPr>
              <w:kinsoku w:val="0"/>
              <w:overflowPunct w:val="0"/>
              <w:autoSpaceDE w:val="0"/>
              <w:autoSpaceDN w:val="0"/>
              <w:adjustRightInd w:val="0"/>
              <w:snapToGrid w:val="0"/>
              <w:spacing w:line="360" w:lineRule="exact"/>
              <w:jc w:val="center"/>
              <w:rPr>
                <w:rFonts w:ascii="仿宋_GB2312" w:hAnsi="宋体" w:eastAsia="仿宋_GB2312" w:cs="仿宋_GB2312"/>
                <w:color w:val="000000"/>
                <w:spacing w:val="-20"/>
                <w:sz w:val="24"/>
                <w:szCs w:val="24"/>
              </w:rPr>
            </w:pPr>
          </w:p>
        </w:tc>
        <w:tc>
          <w:tcPr>
            <w:tcW w:w="1228" w:type="dxa"/>
            <w:vAlign w:val="center"/>
          </w:tcPr>
          <w:p>
            <w:pPr>
              <w:kinsoku w:val="0"/>
              <w:overflowPunct w:val="0"/>
              <w:autoSpaceDE w:val="0"/>
              <w:autoSpaceDN w:val="0"/>
              <w:adjustRightInd w:val="0"/>
              <w:snapToGrid w:val="0"/>
              <w:spacing w:line="300" w:lineRule="exact"/>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劳动用工监管</w:t>
            </w:r>
          </w:p>
        </w:tc>
        <w:tc>
          <w:tcPr>
            <w:tcW w:w="3568" w:type="dxa"/>
            <w:vAlign w:val="center"/>
          </w:tcPr>
          <w:p>
            <w:pPr>
              <w:kinsoku w:val="0"/>
              <w:overflowPunct w:val="0"/>
              <w:autoSpaceDE w:val="0"/>
              <w:autoSpaceDN w:val="0"/>
              <w:adjustRightInd w:val="0"/>
              <w:snapToGrid w:val="0"/>
              <w:spacing w:line="300" w:lineRule="exact"/>
              <w:jc w:val="left"/>
              <w:rPr>
                <w:rFonts w:ascii="仿宋_GB2312" w:eastAsia="仿宋_GB2312"/>
                <w:color w:val="000000"/>
                <w:spacing w:val="-20"/>
                <w:sz w:val="24"/>
                <w:szCs w:val="24"/>
              </w:rPr>
            </w:pPr>
            <w:r>
              <w:rPr>
                <w:rFonts w:ascii="仿宋_GB2312" w:eastAsia="仿宋_GB2312" w:cs="仿宋_GB2312"/>
                <w:color w:val="000000"/>
                <w:spacing w:val="-20"/>
                <w:sz w:val="24"/>
                <w:szCs w:val="24"/>
              </w:rPr>
              <w:t>1.</w:t>
            </w:r>
            <w:r>
              <w:rPr>
                <w:rFonts w:hint="eastAsia" w:ascii="仿宋_GB2312" w:eastAsia="仿宋_GB2312" w:cs="仿宋_GB2312"/>
                <w:color w:val="000000"/>
                <w:spacing w:val="-20"/>
                <w:sz w:val="24"/>
                <w:szCs w:val="24"/>
              </w:rPr>
              <w:t>用人单位制定内部劳动保障规章制度情况；</w:t>
            </w:r>
          </w:p>
          <w:p>
            <w:pPr>
              <w:kinsoku w:val="0"/>
              <w:overflowPunct w:val="0"/>
              <w:autoSpaceDE w:val="0"/>
              <w:autoSpaceDN w:val="0"/>
              <w:adjustRightInd w:val="0"/>
              <w:snapToGrid w:val="0"/>
              <w:spacing w:line="300" w:lineRule="exact"/>
              <w:jc w:val="left"/>
              <w:rPr>
                <w:rFonts w:ascii="仿宋_GB2312" w:eastAsia="仿宋_GB2312"/>
                <w:color w:val="000000"/>
                <w:spacing w:val="-20"/>
                <w:sz w:val="24"/>
                <w:szCs w:val="24"/>
              </w:rPr>
            </w:pPr>
            <w:r>
              <w:rPr>
                <w:rFonts w:ascii="仿宋_GB2312" w:eastAsia="仿宋_GB2312" w:cs="仿宋_GB2312"/>
                <w:color w:val="000000"/>
                <w:spacing w:val="-20"/>
                <w:sz w:val="24"/>
                <w:szCs w:val="24"/>
              </w:rPr>
              <w:t>2.</w:t>
            </w:r>
            <w:r>
              <w:rPr>
                <w:rFonts w:hint="eastAsia" w:ascii="仿宋_GB2312" w:eastAsia="仿宋_GB2312" w:cs="仿宋_GB2312"/>
                <w:color w:val="000000"/>
                <w:spacing w:val="-20"/>
                <w:sz w:val="24"/>
                <w:szCs w:val="24"/>
              </w:rPr>
              <w:t>用人单位与劳动者签订劳动合同情况；</w:t>
            </w:r>
          </w:p>
          <w:p>
            <w:pPr>
              <w:kinsoku w:val="0"/>
              <w:overflowPunct w:val="0"/>
              <w:autoSpaceDE w:val="0"/>
              <w:autoSpaceDN w:val="0"/>
              <w:adjustRightInd w:val="0"/>
              <w:snapToGrid w:val="0"/>
              <w:spacing w:line="300" w:lineRule="exact"/>
              <w:jc w:val="left"/>
              <w:rPr>
                <w:rFonts w:ascii="仿宋_GB2312" w:eastAsia="仿宋_GB2312"/>
                <w:color w:val="000000"/>
                <w:spacing w:val="-20"/>
                <w:sz w:val="24"/>
                <w:szCs w:val="24"/>
              </w:rPr>
            </w:pPr>
            <w:r>
              <w:rPr>
                <w:rFonts w:ascii="仿宋_GB2312" w:eastAsia="仿宋_GB2312" w:cs="仿宋_GB2312"/>
                <w:color w:val="000000"/>
                <w:spacing w:val="-20"/>
                <w:sz w:val="24"/>
                <w:szCs w:val="24"/>
              </w:rPr>
              <w:t>3.</w:t>
            </w:r>
            <w:r>
              <w:rPr>
                <w:rFonts w:hint="eastAsia" w:ascii="仿宋_GB2312" w:eastAsia="仿宋_GB2312" w:cs="仿宋_GB2312"/>
                <w:color w:val="000000"/>
                <w:spacing w:val="-20"/>
                <w:sz w:val="24"/>
                <w:szCs w:val="24"/>
              </w:rPr>
              <w:t>用人单位遵守禁止使用童工情况；</w:t>
            </w:r>
          </w:p>
          <w:p>
            <w:pPr>
              <w:kinsoku w:val="0"/>
              <w:overflowPunct w:val="0"/>
              <w:autoSpaceDE w:val="0"/>
              <w:autoSpaceDN w:val="0"/>
              <w:adjustRightInd w:val="0"/>
              <w:snapToGrid w:val="0"/>
              <w:spacing w:line="300" w:lineRule="exact"/>
              <w:jc w:val="left"/>
              <w:rPr>
                <w:rFonts w:ascii="仿宋_GB2312" w:eastAsia="仿宋_GB2312"/>
                <w:color w:val="000000"/>
                <w:spacing w:val="-20"/>
                <w:sz w:val="24"/>
                <w:szCs w:val="24"/>
              </w:rPr>
            </w:pPr>
            <w:r>
              <w:rPr>
                <w:rFonts w:ascii="仿宋_GB2312" w:eastAsia="仿宋_GB2312" w:cs="仿宋_GB2312"/>
                <w:color w:val="000000"/>
                <w:spacing w:val="-20"/>
                <w:sz w:val="24"/>
                <w:szCs w:val="24"/>
              </w:rPr>
              <w:t>4.</w:t>
            </w:r>
            <w:r>
              <w:rPr>
                <w:rFonts w:hint="eastAsia" w:ascii="仿宋_GB2312" w:eastAsia="仿宋_GB2312" w:cs="仿宋_GB2312"/>
                <w:color w:val="000000"/>
                <w:spacing w:val="-20"/>
                <w:sz w:val="24"/>
                <w:szCs w:val="24"/>
              </w:rPr>
              <w:t>用人单位遵守工作时间和休息休假规定情况；</w:t>
            </w:r>
          </w:p>
          <w:p>
            <w:pPr>
              <w:kinsoku w:val="0"/>
              <w:overflowPunct w:val="0"/>
              <w:autoSpaceDE w:val="0"/>
              <w:autoSpaceDN w:val="0"/>
              <w:adjustRightInd w:val="0"/>
              <w:snapToGrid w:val="0"/>
              <w:spacing w:line="300" w:lineRule="exact"/>
              <w:jc w:val="left"/>
              <w:rPr>
                <w:rFonts w:ascii="仿宋_GB2312" w:eastAsia="仿宋_GB2312"/>
                <w:color w:val="000000"/>
                <w:spacing w:val="-20"/>
                <w:sz w:val="24"/>
                <w:szCs w:val="24"/>
              </w:rPr>
            </w:pPr>
            <w:r>
              <w:rPr>
                <w:rFonts w:ascii="仿宋_GB2312" w:eastAsia="仿宋_GB2312" w:cs="仿宋_GB2312"/>
                <w:color w:val="000000"/>
                <w:spacing w:val="-20"/>
                <w:sz w:val="24"/>
                <w:szCs w:val="24"/>
              </w:rPr>
              <w:t>5.</w:t>
            </w:r>
            <w:r>
              <w:rPr>
                <w:rFonts w:hint="eastAsia" w:ascii="仿宋_GB2312" w:eastAsia="仿宋_GB2312" w:cs="仿宋_GB2312"/>
                <w:color w:val="000000"/>
                <w:spacing w:val="-20"/>
                <w:sz w:val="24"/>
                <w:szCs w:val="24"/>
              </w:rPr>
              <w:t>用人单位遵守女职工和未成年工特殊劳动保护规定情况；</w:t>
            </w:r>
          </w:p>
          <w:p>
            <w:pPr>
              <w:kinsoku w:val="0"/>
              <w:overflowPunct w:val="0"/>
              <w:autoSpaceDE w:val="0"/>
              <w:autoSpaceDN w:val="0"/>
              <w:adjustRightInd w:val="0"/>
              <w:snapToGrid w:val="0"/>
              <w:spacing w:line="300" w:lineRule="exact"/>
              <w:jc w:val="left"/>
              <w:rPr>
                <w:rFonts w:ascii="仿宋_GB2312" w:eastAsia="仿宋_GB2312"/>
                <w:color w:val="000000"/>
                <w:spacing w:val="-20"/>
                <w:sz w:val="24"/>
                <w:szCs w:val="24"/>
              </w:rPr>
            </w:pPr>
            <w:r>
              <w:rPr>
                <w:rFonts w:ascii="仿宋_GB2312" w:eastAsia="仿宋_GB2312" w:cs="仿宋_GB2312"/>
                <w:color w:val="000000"/>
                <w:spacing w:val="-20"/>
                <w:sz w:val="24"/>
                <w:szCs w:val="24"/>
              </w:rPr>
              <w:t>6.</w:t>
            </w:r>
            <w:r>
              <w:rPr>
                <w:rFonts w:hint="eastAsia" w:ascii="仿宋_GB2312" w:eastAsia="仿宋_GB2312" w:cs="仿宋_GB2312"/>
                <w:color w:val="000000"/>
                <w:spacing w:val="-20"/>
                <w:sz w:val="24"/>
                <w:szCs w:val="24"/>
              </w:rPr>
              <w:t>用人单位支付劳动者工资和执行最低工资标准情况；</w:t>
            </w:r>
          </w:p>
          <w:p>
            <w:pPr>
              <w:kinsoku w:val="0"/>
              <w:overflowPunct w:val="0"/>
              <w:autoSpaceDE w:val="0"/>
              <w:autoSpaceDN w:val="0"/>
              <w:adjustRightInd w:val="0"/>
              <w:snapToGrid w:val="0"/>
              <w:spacing w:line="300" w:lineRule="exact"/>
              <w:jc w:val="left"/>
              <w:rPr>
                <w:rFonts w:ascii="仿宋_GB2312" w:eastAsia="仿宋_GB2312"/>
                <w:color w:val="000000"/>
                <w:spacing w:val="-20"/>
                <w:sz w:val="24"/>
                <w:szCs w:val="24"/>
              </w:rPr>
            </w:pPr>
            <w:r>
              <w:rPr>
                <w:rFonts w:ascii="仿宋_GB2312" w:eastAsia="仿宋_GB2312" w:cs="仿宋_GB2312"/>
                <w:color w:val="000000"/>
                <w:spacing w:val="-20"/>
                <w:sz w:val="24"/>
                <w:szCs w:val="24"/>
              </w:rPr>
              <w:t>7.</w:t>
            </w:r>
            <w:r>
              <w:rPr>
                <w:rFonts w:hint="eastAsia" w:ascii="仿宋_GB2312" w:eastAsia="仿宋_GB2312" w:cs="仿宋_GB2312"/>
                <w:color w:val="000000"/>
                <w:spacing w:val="-20"/>
                <w:sz w:val="24"/>
                <w:szCs w:val="24"/>
              </w:rPr>
              <w:t>用人单位执行带薪年休假情况；</w:t>
            </w:r>
          </w:p>
          <w:p>
            <w:pPr>
              <w:kinsoku w:val="0"/>
              <w:overflowPunct w:val="0"/>
              <w:autoSpaceDE w:val="0"/>
              <w:autoSpaceDN w:val="0"/>
              <w:adjustRightInd w:val="0"/>
              <w:snapToGrid w:val="0"/>
              <w:spacing w:line="300" w:lineRule="exact"/>
              <w:jc w:val="left"/>
              <w:rPr>
                <w:rFonts w:ascii="仿宋_GB2312" w:eastAsia="仿宋_GB2312"/>
                <w:color w:val="000000"/>
                <w:spacing w:val="-20"/>
                <w:sz w:val="24"/>
                <w:szCs w:val="24"/>
              </w:rPr>
            </w:pPr>
            <w:r>
              <w:rPr>
                <w:rFonts w:ascii="仿宋_GB2312" w:eastAsia="仿宋_GB2312" w:cs="仿宋_GB2312"/>
                <w:color w:val="000000"/>
                <w:spacing w:val="-20"/>
                <w:sz w:val="24"/>
                <w:szCs w:val="24"/>
              </w:rPr>
              <w:t>8.</w:t>
            </w:r>
            <w:r>
              <w:rPr>
                <w:rFonts w:hint="eastAsia" w:ascii="仿宋_GB2312" w:eastAsia="仿宋_GB2312" w:cs="仿宋_GB2312"/>
                <w:color w:val="000000"/>
                <w:spacing w:val="-20"/>
                <w:sz w:val="24"/>
                <w:szCs w:val="24"/>
              </w:rPr>
              <w:t>用人单位对职工个人进行社会保险登记和进行就业登记的情况；</w:t>
            </w:r>
          </w:p>
          <w:p>
            <w:pPr>
              <w:kinsoku w:val="0"/>
              <w:overflowPunct w:val="0"/>
              <w:autoSpaceDE w:val="0"/>
              <w:autoSpaceDN w:val="0"/>
              <w:adjustRightInd w:val="0"/>
              <w:snapToGrid w:val="0"/>
              <w:spacing w:line="300" w:lineRule="exact"/>
              <w:rPr>
                <w:rFonts w:ascii="仿宋_GB2312" w:eastAsia="仿宋_GB2312"/>
                <w:color w:val="000000"/>
                <w:spacing w:val="-20"/>
                <w:sz w:val="24"/>
                <w:szCs w:val="24"/>
              </w:rPr>
            </w:pPr>
            <w:r>
              <w:rPr>
                <w:rFonts w:ascii="仿宋_GB2312" w:eastAsia="仿宋_GB2312" w:cs="仿宋_GB2312"/>
                <w:color w:val="000000"/>
                <w:spacing w:val="-20"/>
                <w:sz w:val="24"/>
                <w:szCs w:val="24"/>
              </w:rPr>
              <w:t>9.</w:t>
            </w:r>
            <w:r>
              <w:rPr>
                <w:rFonts w:hint="eastAsia" w:ascii="仿宋_GB2312" w:eastAsia="仿宋_GB2312" w:cs="仿宋_GB2312"/>
                <w:color w:val="000000"/>
                <w:spacing w:val="-20"/>
                <w:sz w:val="24"/>
                <w:szCs w:val="24"/>
              </w:rPr>
              <w:t>法律、法规、规章规定的其他劳动保障监察及行政执法检查事项。</w:t>
            </w:r>
          </w:p>
        </w:tc>
        <w:tc>
          <w:tcPr>
            <w:tcW w:w="1283"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各类用人单位(与劳动者建立劳动关系)</w:t>
            </w:r>
          </w:p>
        </w:tc>
        <w:tc>
          <w:tcPr>
            <w:tcW w:w="1283" w:type="dxa"/>
            <w:vAlign w:val="center"/>
          </w:tcPr>
          <w:p>
            <w:pPr>
              <w:kinsoku w:val="0"/>
              <w:overflowPunct w:val="0"/>
              <w:autoSpaceDE w:val="0"/>
              <w:autoSpaceDN w:val="0"/>
              <w:adjustRightInd w:val="0"/>
              <w:snapToGrid w:val="0"/>
              <w:spacing w:line="280" w:lineRule="exact"/>
              <w:jc w:val="center"/>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一般</w:t>
            </w:r>
          </w:p>
          <w:p>
            <w:pPr>
              <w:kinsoku w:val="0"/>
              <w:overflowPunct w:val="0"/>
              <w:autoSpaceDE w:val="0"/>
              <w:autoSpaceDN w:val="0"/>
              <w:adjustRightInd w:val="0"/>
              <w:snapToGrid w:val="0"/>
              <w:spacing w:line="280" w:lineRule="exact"/>
              <w:jc w:val="center"/>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检查事项</w:t>
            </w:r>
          </w:p>
        </w:tc>
        <w:tc>
          <w:tcPr>
            <w:tcW w:w="1267"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书面核查、</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实地核查</w:t>
            </w:r>
          </w:p>
        </w:tc>
        <w:tc>
          <w:tcPr>
            <w:tcW w:w="4407"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《劳动法》、《劳动合同法》、《劳动保障监察条例》、《陕西省劳动保障监察条例》、《陕西省企业工资支付条例》、《禁止使用童工规定》</w:t>
            </w:r>
          </w:p>
        </w:tc>
        <w:tc>
          <w:tcPr>
            <w:tcW w:w="1224"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组织人社部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2" w:hRule="atLeast"/>
        </w:trPr>
        <w:tc>
          <w:tcPr>
            <w:tcW w:w="702" w:type="dxa"/>
            <w:vAlign w:val="center"/>
          </w:tcPr>
          <w:p>
            <w:pPr>
              <w:kinsoku w:val="0"/>
              <w:overflowPunct w:val="0"/>
              <w:autoSpaceDE w:val="0"/>
              <w:autoSpaceDN w:val="0"/>
              <w:adjustRightInd w:val="0"/>
              <w:snapToGrid w:val="0"/>
              <w:spacing w:line="280" w:lineRule="exact"/>
              <w:rPr>
                <w:rFonts w:hint="default" w:ascii="仿宋_GB2312" w:hAnsi="仿宋" w:eastAsia="仿宋_GB2312" w:cs="仿宋_GB2312"/>
                <w:color w:val="000000"/>
                <w:spacing w:val="-30"/>
                <w:sz w:val="24"/>
                <w:szCs w:val="24"/>
                <w:lang w:val="en-US" w:eastAsia="zh-CN"/>
              </w:rPr>
            </w:pPr>
            <w:r>
              <w:rPr>
                <w:rFonts w:hint="eastAsia" w:ascii="仿宋_GB2312" w:hAnsi="仿宋" w:eastAsia="仿宋_GB2312" w:cs="仿宋_GB2312"/>
                <w:color w:val="000000"/>
                <w:spacing w:val="-30"/>
                <w:sz w:val="24"/>
                <w:szCs w:val="24"/>
                <w:lang w:val="en-US" w:eastAsia="zh-CN"/>
              </w:rPr>
              <w:t>13</w:t>
            </w:r>
          </w:p>
        </w:tc>
        <w:tc>
          <w:tcPr>
            <w:tcW w:w="1228"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劳务派遣用工检查</w:t>
            </w:r>
          </w:p>
        </w:tc>
        <w:tc>
          <w:tcPr>
            <w:tcW w:w="3568"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1、劳务派遣单位是否存在克扣用工单位按照劳务派遣协议支付给被派遣劳动者的劳动报酬的情形；</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2、单位或个人是</w:t>
            </w:r>
            <w:r>
              <w:rPr>
                <w:rFonts w:hint="eastAsia" w:ascii="仿宋_GB2312" w:hAnsi="仿宋" w:eastAsia="仿宋_GB2312" w:cs="仿宋_GB2312"/>
                <w:color w:val="000000"/>
                <w:spacing w:val="-30"/>
                <w:sz w:val="24"/>
                <w:szCs w:val="24"/>
                <w:lang w:eastAsia="zh-CN"/>
              </w:rPr>
              <w:t>否</w:t>
            </w:r>
            <w:r>
              <w:rPr>
                <w:rFonts w:hint="eastAsia" w:ascii="仿宋_GB2312" w:hAnsi="仿宋" w:eastAsia="仿宋_GB2312" w:cs="仿宋_GB2312"/>
                <w:color w:val="000000"/>
                <w:spacing w:val="-30"/>
                <w:sz w:val="24"/>
                <w:szCs w:val="24"/>
              </w:rPr>
              <w:t>存在未经许可，擅自经营劳务派遣业务的情形；</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3、用工单位是</w:t>
            </w:r>
            <w:r>
              <w:rPr>
                <w:rFonts w:hint="eastAsia" w:ascii="仿宋_GB2312" w:hAnsi="仿宋" w:eastAsia="仿宋_GB2312" w:cs="仿宋_GB2312"/>
                <w:color w:val="000000"/>
                <w:spacing w:val="-30"/>
                <w:sz w:val="24"/>
                <w:szCs w:val="24"/>
                <w:lang w:eastAsia="zh-CN"/>
              </w:rPr>
              <w:t>否</w:t>
            </w:r>
            <w:r>
              <w:rPr>
                <w:rFonts w:hint="eastAsia" w:ascii="仿宋_GB2312" w:hAnsi="仿宋" w:eastAsia="仿宋_GB2312" w:cs="仿宋_GB2312"/>
                <w:color w:val="000000"/>
                <w:spacing w:val="-30"/>
                <w:sz w:val="24"/>
                <w:szCs w:val="24"/>
              </w:rPr>
              <w:t>存在在临时性、辅助性或者替代性岗位以</w:t>
            </w:r>
            <w:r>
              <w:rPr>
                <w:rFonts w:hint="eastAsia" w:ascii="仿宋_GB2312" w:hAnsi="仿宋" w:eastAsia="仿宋_GB2312" w:cs="仿宋_GB2312"/>
                <w:color w:val="000000"/>
                <w:spacing w:val="-30"/>
                <w:sz w:val="24"/>
                <w:szCs w:val="24"/>
                <w:lang w:eastAsia="zh-CN"/>
              </w:rPr>
              <w:t>外</w:t>
            </w:r>
            <w:r>
              <w:rPr>
                <w:rFonts w:hint="eastAsia" w:ascii="仿宋_GB2312" w:hAnsi="仿宋" w:eastAsia="仿宋_GB2312" w:cs="仿宋_GB2312"/>
                <w:color w:val="000000"/>
                <w:spacing w:val="-30"/>
                <w:sz w:val="24"/>
                <w:szCs w:val="24"/>
              </w:rPr>
              <w:t>的岗位上使用被派遣劳动者的情形；</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4.劳务派遣用工数量是否超过规定比例。</w:t>
            </w:r>
          </w:p>
        </w:tc>
        <w:tc>
          <w:tcPr>
            <w:tcW w:w="1283"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劳务派遣单位、个人及用工单位</w:t>
            </w:r>
          </w:p>
        </w:tc>
        <w:tc>
          <w:tcPr>
            <w:tcW w:w="1283" w:type="dxa"/>
            <w:vAlign w:val="center"/>
          </w:tcPr>
          <w:p>
            <w:pPr>
              <w:kinsoku w:val="0"/>
              <w:overflowPunct w:val="0"/>
              <w:autoSpaceDE w:val="0"/>
              <w:autoSpaceDN w:val="0"/>
              <w:adjustRightInd w:val="0"/>
              <w:snapToGrid w:val="0"/>
              <w:spacing w:line="280" w:lineRule="exact"/>
              <w:jc w:val="center"/>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一般</w:t>
            </w:r>
          </w:p>
          <w:p>
            <w:pPr>
              <w:kinsoku w:val="0"/>
              <w:overflowPunct w:val="0"/>
              <w:autoSpaceDE w:val="0"/>
              <w:autoSpaceDN w:val="0"/>
              <w:adjustRightInd w:val="0"/>
              <w:snapToGrid w:val="0"/>
              <w:spacing w:line="280" w:lineRule="exact"/>
              <w:jc w:val="center"/>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检查事项</w:t>
            </w:r>
          </w:p>
        </w:tc>
        <w:tc>
          <w:tcPr>
            <w:tcW w:w="1267"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书面核查、</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实地核查</w:t>
            </w:r>
          </w:p>
        </w:tc>
        <w:tc>
          <w:tcPr>
            <w:tcW w:w="4407"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《劳动法》、《劳动合同法》、《劳动保障监察条例》、《劳务派遣暂行规定》、《劳务派遣行政许可实施办法》、《陕西省劳动保障监察条例》</w:t>
            </w:r>
          </w:p>
        </w:tc>
        <w:tc>
          <w:tcPr>
            <w:tcW w:w="1224" w:type="dxa"/>
            <w:vAlign w:val="center"/>
          </w:tcPr>
          <w:p>
            <w:pPr>
              <w:jc w:val="center"/>
              <w:rPr>
                <w:rFonts w:ascii="宋体"/>
                <w:b/>
                <w:bCs/>
                <w:color w:val="000000"/>
                <w:sz w:val="24"/>
                <w:szCs w:val="24"/>
              </w:rPr>
            </w:pPr>
            <w:r>
              <w:rPr>
                <w:rFonts w:hint="eastAsia" w:ascii="仿宋_GB2312" w:hAnsi="仿宋" w:eastAsia="仿宋_GB2312" w:cs="仿宋_GB2312"/>
                <w:color w:val="000000"/>
                <w:spacing w:val="-30"/>
                <w:sz w:val="24"/>
                <w:szCs w:val="24"/>
              </w:rPr>
              <w:t>组织人社部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3" w:hRule="atLeast"/>
        </w:trPr>
        <w:tc>
          <w:tcPr>
            <w:tcW w:w="702" w:type="dxa"/>
            <w:vAlign w:val="center"/>
          </w:tcPr>
          <w:p>
            <w:pPr>
              <w:kinsoku w:val="0"/>
              <w:overflowPunct w:val="0"/>
              <w:autoSpaceDE w:val="0"/>
              <w:autoSpaceDN w:val="0"/>
              <w:adjustRightInd w:val="0"/>
              <w:snapToGrid w:val="0"/>
              <w:spacing w:line="280" w:lineRule="exact"/>
              <w:rPr>
                <w:rFonts w:hint="default" w:ascii="仿宋_GB2312" w:hAnsi="仿宋" w:eastAsia="仿宋_GB2312" w:cs="仿宋_GB2312"/>
                <w:color w:val="000000"/>
                <w:spacing w:val="-30"/>
                <w:sz w:val="24"/>
                <w:szCs w:val="24"/>
                <w:lang w:val="en-US" w:eastAsia="zh-CN"/>
              </w:rPr>
            </w:pPr>
            <w:r>
              <w:rPr>
                <w:rFonts w:hint="eastAsia" w:ascii="仿宋_GB2312" w:hAnsi="仿宋" w:eastAsia="仿宋_GB2312" w:cs="仿宋_GB2312"/>
                <w:color w:val="000000"/>
                <w:spacing w:val="-30"/>
                <w:sz w:val="24"/>
                <w:szCs w:val="24"/>
                <w:lang w:val="en-US" w:eastAsia="zh-CN"/>
              </w:rPr>
              <w:t>14</w:t>
            </w:r>
          </w:p>
        </w:tc>
        <w:tc>
          <w:tcPr>
            <w:tcW w:w="1228"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房地产市场秩序监督检查</w:t>
            </w:r>
          </w:p>
        </w:tc>
        <w:tc>
          <w:tcPr>
            <w:tcW w:w="3568"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房地产经纪行为抽查</w:t>
            </w:r>
          </w:p>
        </w:tc>
        <w:tc>
          <w:tcPr>
            <w:tcW w:w="1283"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房地产经纪机构</w:t>
            </w:r>
          </w:p>
        </w:tc>
        <w:tc>
          <w:tcPr>
            <w:tcW w:w="1283" w:type="dxa"/>
            <w:vAlign w:val="center"/>
          </w:tcPr>
          <w:p>
            <w:pPr>
              <w:kinsoku w:val="0"/>
              <w:overflowPunct w:val="0"/>
              <w:autoSpaceDE w:val="0"/>
              <w:autoSpaceDN w:val="0"/>
              <w:adjustRightInd w:val="0"/>
              <w:snapToGrid w:val="0"/>
              <w:spacing w:line="280" w:lineRule="exact"/>
              <w:jc w:val="center"/>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一般</w:t>
            </w:r>
          </w:p>
          <w:p>
            <w:pPr>
              <w:kinsoku w:val="0"/>
              <w:overflowPunct w:val="0"/>
              <w:autoSpaceDE w:val="0"/>
              <w:autoSpaceDN w:val="0"/>
              <w:adjustRightInd w:val="0"/>
              <w:snapToGrid w:val="0"/>
              <w:spacing w:line="280" w:lineRule="exact"/>
              <w:jc w:val="center"/>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检查事项</w:t>
            </w:r>
          </w:p>
        </w:tc>
        <w:tc>
          <w:tcPr>
            <w:tcW w:w="1267"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书面核查、</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实地核查</w:t>
            </w:r>
          </w:p>
        </w:tc>
        <w:tc>
          <w:tcPr>
            <w:tcW w:w="4407"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住建部《房地产经纪管理办法》</w:t>
            </w:r>
          </w:p>
        </w:tc>
        <w:tc>
          <w:tcPr>
            <w:tcW w:w="1224" w:type="dxa"/>
            <w:tcBorders>
              <w:bottom w:val="nil"/>
            </w:tcBorders>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住房和城乡建设局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702" w:type="dxa"/>
            <w:vMerge w:val="restart"/>
            <w:vAlign w:val="center"/>
          </w:tcPr>
          <w:p>
            <w:pPr>
              <w:kinsoku w:val="0"/>
              <w:overflowPunct w:val="0"/>
              <w:autoSpaceDE w:val="0"/>
              <w:autoSpaceDN w:val="0"/>
              <w:adjustRightInd w:val="0"/>
              <w:snapToGrid w:val="0"/>
              <w:spacing w:line="280" w:lineRule="exact"/>
              <w:rPr>
                <w:rFonts w:hint="default" w:ascii="仿宋_GB2312" w:hAnsi="仿宋" w:eastAsia="仿宋_GB2312" w:cs="仿宋_GB2312"/>
                <w:color w:val="000000"/>
                <w:spacing w:val="-30"/>
                <w:sz w:val="24"/>
                <w:szCs w:val="24"/>
                <w:lang w:val="en-US" w:eastAsia="zh-CN"/>
              </w:rPr>
            </w:pPr>
            <w:r>
              <w:rPr>
                <w:rFonts w:hint="eastAsia" w:ascii="仿宋_GB2312" w:hAnsi="仿宋" w:eastAsia="仿宋_GB2312" w:cs="仿宋_GB2312"/>
                <w:color w:val="000000"/>
                <w:spacing w:val="-30"/>
                <w:sz w:val="24"/>
                <w:szCs w:val="24"/>
                <w:lang w:val="en-US" w:eastAsia="zh-CN"/>
              </w:rPr>
              <w:t>15</w:t>
            </w:r>
          </w:p>
        </w:tc>
        <w:tc>
          <w:tcPr>
            <w:tcW w:w="1228" w:type="dxa"/>
            <w:vMerge w:val="restart"/>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燃气经营监督执法检查</w:t>
            </w:r>
          </w:p>
        </w:tc>
        <w:tc>
          <w:tcPr>
            <w:tcW w:w="3568" w:type="dxa"/>
            <w:tcBorders>
              <w:bottom w:val="single" w:color="auto" w:sz="4" w:space="0"/>
            </w:tcBorders>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对取得燃气经营许可证的企业开展燃气经营业务监督检查。</w:t>
            </w:r>
          </w:p>
        </w:tc>
        <w:tc>
          <w:tcPr>
            <w:tcW w:w="1283" w:type="dxa"/>
            <w:vMerge w:val="restart"/>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燃气经营企业</w:t>
            </w:r>
          </w:p>
        </w:tc>
        <w:tc>
          <w:tcPr>
            <w:tcW w:w="1283" w:type="dxa"/>
            <w:vMerge w:val="restart"/>
            <w:vAlign w:val="center"/>
          </w:tcPr>
          <w:p>
            <w:pPr>
              <w:kinsoku w:val="0"/>
              <w:overflowPunct w:val="0"/>
              <w:autoSpaceDE w:val="0"/>
              <w:autoSpaceDN w:val="0"/>
              <w:adjustRightInd w:val="0"/>
              <w:snapToGrid w:val="0"/>
              <w:spacing w:line="280" w:lineRule="exact"/>
              <w:ind w:firstLine="180" w:firstLineChars="100"/>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一般</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检查事项</w:t>
            </w:r>
          </w:p>
        </w:tc>
        <w:tc>
          <w:tcPr>
            <w:tcW w:w="1267" w:type="dxa"/>
            <w:vMerge w:val="restart"/>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书面核查、</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实地核查</w:t>
            </w:r>
          </w:p>
        </w:tc>
        <w:tc>
          <w:tcPr>
            <w:tcW w:w="4407" w:type="dxa"/>
            <w:tcBorders>
              <w:bottom w:val="single" w:color="auto" w:sz="4" w:space="0"/>
            </w:tcBorders>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《城镇燃气管理条例》《陕西省燃气管理条例》《燃气经营许可管理办法》</w:t>
            </w:r>
          </w:p>
        </w:tc>
        <w:tc>
          <w:tcPr>
            <w:tcW w:w="1224" w:type="dxa"/>
            <w:vMerge w:val="restart"/>
            <w:tcBorders>
              <w:top w:val="nil"/>
            </w:tcBorders>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住房和城乡建设局</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trPr>
        <w:tc>
          <w:tcPr>
            <w:tcW w:w="702" w:type="dxa"/>
            <w:vMerge w:val="continue"/>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p>
        </w:tc>
        <w:tc>
          <w:tcPr>
            <w:tcW w:w="1228" w:type="dxa"/>
            <w:vMerge w:val="continue"/>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p>
        </w:tc>
        <w:tc>
          <w:tcPr>
            <w:tcW w:w="3568" w:type="dxa"/>
            <w:tcBorders>
              <w:top w:val="single" w:color="auto" w:sz="4" w:space="0"/>
              <w:bottom w:val="single" w:color="auto" w:sz="4" w:space="0"/>
            </w:tcBorders>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对取得燃气经营许可证的企业开展特种设备使用监督检查。</w:t>
            </w:r>
          </w:p>
        </w:tc>
        <w:tc>
          <w:tcPr>
            <w:tcW w:w="1283" w:type="dxa"/>
            <w:vMerge w:val="continue"/>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20"/>
                <w:kern w:val="0"/>
                <w:sz w:val="24"/>
                <w:szCs w:val="24"/>
              </w:rPr>
            </w:pPr>
          </w:p>
        </w:tc>
        <w:tc>
          <w:tcPr>
            <w:tcW w:w="1283" w:type="dxa"/>
            <w:vMerge w:val="continue"/>
            <w:vAlign w:val="center"/>
          </w:tcPr>
          <w:p>
            <w:pPr>
              <w:spacing w:line="300" w:lineRule="exact"/>
              <w:jc w:val="center"/>
              <w:rPr>
                <w:rFonts w:ascii="仿宋_GB2312" w:hAnsi="宋体" w:eastAsia="仿宋_GB2312"/>
                <w:color w:val="000000"/>
                <w:spacing w:val="-30"/>
                <w:sz w:val="24"/>
                <w:szCs w:val="24"/>
              </w:rPr>
            </w:pPr>
          </w:p>
        </w:tc>
        <w:tc>
          <w:tcPr>
            <w:tcW w:w="1267" w:type="dxa"/>
            <w:vMerge w:val="continue"/>
            <w:vAlign w:val="center"/>
          </w:tcPr>
          <w:p>
            <w:pPr>
              <w:kinsoku w:val="0"/>
              <w:overflowPunct w:val="0"/>
              <w:autoSpaceDE w:val="0"/>
              <w:autoSpaceDN w:val="0"/>
              <w:adjustRightInd w:val="0"/>
              <w:snapToGrid w:val="0"/>
              <w:spacing w:line="280" w:lineRule="exact"/>
              <w:jc w:val="center"/>
              <w:rPr>
                <w:rFonts w:ascii="仿宋_GB2312" w:eastAsia="仿宋_GB2312"/>
                <w:color w:val="000000"/>
                <w:spacing w:val="-20"/>
                <w:sz w:val="24"/>
                <w:szCs w:val="24"/>
              </w:rPr>
            </w:pPr>
          </w:p>
        </w:tc>
        <w:tc>
          <w:tcPr>
            <w:tcW w:w="4407" w:type="dxa"/>
            <w:tcBorders>
              <w:top w:val="single" w:color="auto" w:sz="4" w:space="0"/>
              <w:bottom w:val="single" w:color="auto" w:sz="4" w:space="0"/>
            </w:tcBorders>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《中华人民共和国特种设备安全法》</w:t>
            </w:r>
          </w:p>
        </w:tc>
        <w:tc>
          <w:tcPr>
            <w:tcW w:w="1224" w:type="dxa"/>
            <w:vMerge w:val="continue"/>
            <w:tcBorders>
              <w:top w:val="nil"/>
            </w:tcBorders>
            <w:vAlign w:val="center"/>
          </w:tcPr>
          <w:p>
            <w:pPr>
              <w:jc w:val="center"/>
              <w:rPr>
                <w:rFonts w:ascii="宋体" w:cs="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3" w:hRule="atLeast"/>
        </w:trPr>
        <w:tc>
          <w:tcPr>
            <w:tcW w:w="702" w:type="dxa"/>
            <w:vMerge w:val="continue"/>
            <w:vAlign w:val="center"/>
          </w:tcPr>
          <w:p>
            <w:pPr>
              <w:spacing w:line="280" w:lineRule="exact"/>
              <w:jc w:val="center"/>
              <w:rPr>
                <w:rFonts w:ascii="仿宋_GB2312" w:hAnsi="仿宋" w:eastAsia="仿宋_GB2312"/>
                <w:color w:val="000000"/>
                <w:spacing w:val="-30"/>
                <w:sz w:val="24"/>
                <w:szCs w:val="24"/>
              </w:rPr>
            </w:pPr>
          </w:p>
        </w:tc>
        <w:tc>
          <w:tcPr>
            <w:tcW w:w="1228" w:type="dxa"/>
            <w:vMerge w:val="continue"/>
            <w:vAlign w:val="center"/>
          </w:tcPr>
          <w:p>
            <w:pPr>
              <w:kinsoku w:val="0"/>
              <w:overflowPunct w:val="0"/>
              <w:autoSpaceDE w:val="0"/>
              <w:autoSpaceDN w:val="0"/>
              <w:adjustRightInd w:val="0"/>
              <w:snapToGrid w:val="0"/>
              <w:spacing w:line="280" w:lineRule="exact"/>
              <w:rPr>
                <w:rFonts w:ascii="仿宋_GB2312" w:eastAsia="仿宋_GB2312"/>
                <w:color w:val="000000"/>
                <w:spacing w:val="-20"/>
                <w:kern w:val="0"/>
                <w:sz w:val="24"/>
                <w:szCs w:val="24"/>
              </w:rPr>
            </w:pPr>
          </w:p>
        </w:tc>
        <w:tc>
          <w:tcPr>
            <w:tcW w:w="3568" w:type="dxa"/>
            <w:tcBorders>
              <w:top w:val="single" w:color="auto" w:sz="4" w:space="0"/>
            </w:tcBorders>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对取得燃气经营许可证的企业开展安全生产综合检查。</w:t>
            </w:r>
          </w:p>
        </w:tc>
        <w:tc>
          <w:tcPr>
            <w:tcW w:w="1283" w:type="dxa"/>
            <w:vMerge w:val="continue"/>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20"/>
                <w:kern w:val="0"/>
                <w:sz w:val="24"/>
                <w:szCs w:val="24"/>
              </w:rPr>
            </w:pPr>
          </w:p>
        </w:tc>
        <w:tc>
          <w:tcPr>
            <w:tcW w:w="1283" w:type="dxa"/>
            <w:vMerge w:val="continue"/>
            <w:vAlign w:val="center"/>
          </w:tcPr>
          <w:p>
            <w:pPr>
              <w:spacing w:line="300" w:lineRule="exact"/>
              <w:jc w:val="center"/>
              <w:rPr>
                <w:rFonts w:ascii="仿宋_GB2312" w:hAnsi="宋体" w:eastAsia="仿宋_GB2312"/>
                <w:color w:val="000000"/>
                <w:spacing w:val="-30"/>
                <w:sz w:val="24"/>
                <w:szCs w:val="24"/>
              </w:rPr>
            </w:pPr>
          </w:p>
        </w:tc>
        <w:tc>
          <w:tcPr>
            <w:tcW w:w="1267" w:type="dxa"/>
            <w:vMerge w:val="continue"/>
            <w:vAlign w:val="center"/>
          </w:tcPr>
          <w:p>
            <w:pPr>
              <w:kinsoku w:val="0"/>
              <w:overflowPunct w:val="0"/>
              <w:autoSpaceDE w:val="0"/>
              <w:autoSpaceDN w:val="0"/>
              <w:adjustRightInd w:val="0"/>
              <w:snapToGrid w:val="0"/>
              <w:spacing w:line="280" w:lineRule="exact"/>
              <w:jc w:val="center"/>
              <w:rPr>
                <w:rFonts w:ascii="仿宋_GB2312" w:eastAsia="仿宋_GB2312"/>
                <w:color w:val="000000"/>
                <w:spacing w:val="-20"/>
                <w:sz w:val="24"/>
                <w:szCs w:val="24"/>
              </w:rPr>
            </w:pPr>
          </w:p>
        </w:tc>
        <w:tc>
          <w:tcPr>
            <w:tcW w:w="4407" w:type="dxa"/>
            <w:tcBorders>
              <w:top w:val="single" w:color="auto" w:sz="4" w:space="0"/>
            </w:tcBorders>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《中华人民共和国安全生产法》</w:t>
            </w:r>
          </w:p>
        </w:tc>
        <w:tc>
          <w:tcPr>
            <w:tcW w:w="1224" w:type="dxa"/>
            <w:vMerge w:val="continue"/>
            <w:tcBorders>
              <w:top w:val="nil"/>
            </w:tcBorders>
            <w:vAlign w:val="center"/>
          </w:tcPr>
          <w:p>
            <w:pPr>
              <w:jc w:val="center"/>
              <w:rPr>
                <w:rFonts w:ascii="宋体" w:cs="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0" w:hRule="atLeast"/>
        </w:trPr>
        <w:tc>
          <w:tcPr>
            <w:tcW w:w="702"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lang w:val="en-US" w:eastAsia="zh-CN"/>
              </w:rPr>
            </w:pPr>
            <w:r>
              <w:rPr>
                <w:rFonts w:hint="eastAsia" w:ascii="仿宋_GB2312" w:hAnsi="仿宋" w:eastAsia="仿宋_GB2312" w:cs="仿宋_GB2312"/>
                <w:color w:val="000000"/>
                <w:spacing w:val="-30"/>
                <w:sz w:val="24"/>
                <w:szCs w:val="24"/>
              </w:rPr>
              <w:t>1</w:t>
            </w:r>
            <w:r>
              <w:rPr>
                <w:rFonts w:hint="eastAsia" w:ascii="仿宋_GB2312" w:hAnsi="仿宋" w:eastAsia="仿宋_GB2312" w:cs="仿宋_GB2312"/>
                <w:color w:val="000000"/>
                <w:spacing w:val="-30"/>
                <w:sz w:val="24"/>
                <w:szCs w:val="24"/>
                <w:lang w:val="en-US" w:eastAsia="zh-CN"/>
              </w:rPr>
              <w:t>6</w:t>
            </w:r>
          </w:p>
        </w:tc>
        <w:tc>
          <w:tcPr>
            <w:tcW w:w="1228"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物业服务市场监督检查</w:t>
            </w:r>
          </w:p>
        </w:tc>
        <w:tc>
          <w:tcPr>
            <w:tcW w:w="3568"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物业服务行为抽查</w:t>
            </w:r>
          </w:p>
        </w:tc>
        <w:tc>
          <w:tcPr>
            <w:tcW w:w="1283"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物业服务企业</w:t>
            </w:r>
          </w:p>
        </w:tc>
        <w:tc>
          <w:tcPr>
            <w:tcW w:w="1283"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一般</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检查事项</w:t>
            </w:r>
          </w:p>
        </w:tc>
        <w:tc>
          <w:tcPr>
            <w:tcW w:w="1267"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实地核查</w:t>
            </w:r>
          </w:p>
        </w:tc>
        <w:tc>
          <w:tcPr>
            <w:tcW w:w="4407"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《陕西省物业管理条例》、《陕西省物业服务收费管理办法》</w:t>
            </w:r>
          </w:p>
        </w:tc>
        <w:tc>
          <w:tcPr>
            <w:tcW w:w="1224" w:type="dxa"/>
            <w:vMerge w:val="continue"/>
            <w:tcBorders>
              <w:top w:val="nil"/>
            </w:tcBorders>
            <w:vAlign w:val="center"/>
          </w:tcPr>
          <w:p>
            <w:pPr>
              <w:jc w:val="center"/>
              <w:rPr>
                <w:rFonts w:ascii="宋体" w:cs="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4" w:hRule="atLeast"/>
        </w:trPr>
        <w:tc>
          <w:tcPr>
            <w:tcW w:w="702" w:type="dxa"/>
            <w:vMerge w:val="restart"/>
            <w:vAlign w:val="center"/>
          </w:tcPr>
          <w:p>
            <w:pPr>
              <w:kinsoku w:val="0"/>
              <w:overflowPunct w:val="0"/>
              <w:autoSpaceDE w:val="0"/>
              <w:autoSpaceDN w:val="0"/>
              <w:adjustRightInd w:val="0"/>
              <w:snapToGrid w:val="0"/>
              <w:spacing w:line="280" w:lineRule="exact"/>
              <w:rPr>
                <w:rFonts w:hint="default" w:ascii="仿宋_GB2312" w:hAnsi="仿宋" w:eastAsia="仿宋_GB2312" w:cs="仿宋_GB2312"/>
                <w:color w:val="000000"/>
                <w:spacing w:val="-30"/>
                <w:sz w:val="24"/>
                <w:szCs w:val="24"/>
                <w:lang w:val="en-US" w:eastAsia="zh-CN"/>
              </w:rPr>
            </w:pPr>
            <w:r>
              <w:rPr>
                <w:rFonts w:hint="eastAsia" w:ascii="仿宋_GB2312" w:hAnsi="仿宋" w:eastAsia="仿宋_GB2312" w:cs="仿宋_GB2312"/>
                <w:color w:val="000000"/>
                <w:spacing w:val="-30"/>
                <w:sz w:val="24"/>
                <w:szCs w:val="24"/>
                <w:lang w:val="en-US" w:eastAsia="zh-CN"/>
              </w:rPr>
              <w:t>17</w:t>
            </w:r>
          </w:p>
        </w:tc>
        <w:tc>
          <w:tcPr>
            <w:tcW w:w="1228" w:type="dxa"/>
            <w:vMerge w:val="restart"/>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农业生产资料检查</w:t>
            </w:r>
          </w:p>
        </w:tc>
        <w:tc>
          <w:tcPr>
            <w:tcW w:w="3568"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农药监督检查</w:t>
            </w:r>
          </w:p>
        </w:tc>
        <w:tc>
          <w:tcPr>
            <w:tcW w:w="1283" w:type="dxa"/>
            <w:vMerge w:val="restart"/>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全区农资经营门店</w:t>
            </w:r>
          </w:p>
        </w:tc>
        <w:tc>
          <w:tcPr>
            <w:tcW w:w="1283" w:type="dxa"/>
            <w:vMerge w:val="restart"/>
            <w:vAlign w:val="center"/>
          </w:tcPr>
          <w:p>
            <w:pPr>
              <w:kinsoku w:val="0"/>
              <w:overflowPunct w:val="0"/>
              <w:autoSpaceDE w:val="0"/>
              <w:autoSpaceDN w:val="0"/>
              <w:adjustRightInd w:val="0"/>
              <w:snapToGrid w:val="0"/>
              <w:spacing w:line="280" w:lineRule="exact"/>
              <w:ind w:firstLine="180" w:firstLineChars="100"/>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一般</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检查事项</w:t>
            </w:r>
          </w:p>
        </w:tc>
        <w:tc>
          <w:tcPr>
            <w:tcW w:w="1267" w:type="dxa"/>
            <w:vMerge w:val="restart"/>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书面检查、实地核查、</w:t>
            </w:r>
          </w:p>
        </w:tc>
        <w:tc>
          <w:tcPr>
            <w:tcW w:w="4407" w:type="dxa"/>
            <w:vMerge w:val="restart"/>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《农药管理条例》第三条、第四十一条</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《肥料登记管理办法》第六条</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《农业机械安全监督管理条例》第九条</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《中华人民共和国种子法》第三条、第四十七条第一款、第四十八条第一款、第二款、第五十条</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《农作物种子质量监督抽查管理办法》第三条</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《兽药管理条例》第三条、第四十四条、第四十六条</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《农药管理条例》第三条、第四十一条</w:t>
            </w:r>
          </w:p>
        </w:tc>
        <w:tc>
          <w:tcPr>
            <w:tcW w:w="1224" w:type="dxa"/>
            <w:vMerge w:val="restart"/>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农业农村局</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702" w:type="dxa"/>
            <w:vMerge w:val="continue"/>
            <w:vAlign w:val="center"/>
          </w:tcPr>
          <w:p>
            <w:pPr>
              <w:kinsoku w:val="0"/>
              <w:overflowPunct w:val="0"/>
              <w:autoSpaceDE w:val="0"/>
              <w:autoSpaceDN w:val="0"/>
              <w:adjustRightInd w:val="0"/>
              <w:snapToGrid w:val="0"/>
              <w:spacing w:line="300" w:lineRule="exact"/>
              <w:jc w:val="center"/>
              <w:rPr>
                <w:rFonts w:ascii="仿宋_GB2312" w:eastAsia="仿宋_GB2312"/>
                <w:color w:val="FF0000"/>
                <w:spacing w:val="-32"/>
                <w:sz w:val="24"/>
                <w:szCs w:val="24"/>
              </w:rPr>
            </w:pPr>
          </w:p>
        </w:tc>
        <w:tc>
          <w:tcPr>
            <w:tcW w:w="1228" w:type="dxa"/>
            <w:vMerge w:val="continue"/>
            <w:vAlign w:val="center"/>
          </w:tcPr>
          <w:p>
            <w:pPr>
              <w:kinsoku w:val="0"/>
              <w:overflowPunct w:val="0"/>
              <w:autoSpaceDE w:val="0"/>
              <w:autoSpaceDN w:val="0"/>
              <w:adjustRightInd w:val="0"/>
              <w:snapToGrid w:val="0"/>
              <w:spacing w:line="300" w:lineRule="exact"/>
              <w:rPr>
                <w:rFonts w:ascii="仿宋_GB2312" w:eastAsia="仿宋_GB2312"/>
                <w:color w:val="000000"/>
                <w:spacing w:val="-20"/>
                <w:sz w:val="24"/>
                <w:szCs w:val="24"/>
              </w:rPr>
            </w:pPr>
          </w:p>
        </w:tc>
        <w:tc>
          <w:tcPr>
            <w:tcW w:w="3568" w:type="dxa"/>
            <w:tcBorders>
              <w:top w:val="single" w:color="auto" w:sz="4" w:space="0"/>
              <w:bottom w:val="single" w:color="auto" w:sz="4" w:space="0"/>
            </w:tcBorders>
            <w:vAlign w:val="center"/>
          </w:tcPr>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肥料监督检查</w:t>
            </w:r>
          </w:p>
        </w:tc>
        <w:tc>
          <w:tcPr>
            <w:tcW w:w="1283" w:type="dxa"/>
            <w:vMerge w:val="continue"/>
            <w:vAlign w:val="center"/>
          </w:tcPr>
          <w:p>
            <w:pPr>
              <w:kinsoku w:val="0"/>
              <w:overflowPunct w:val="0"/>
              <w:autoSpaceDE w:val="0"/>
              <w:autoSpaceDN w:val="0"/>
              <w:adjustRightInd w:val="0"/>
              <w:snapToGrid w:val="0"/>
              <w:spacing w:line="300" w:lineRule="exact"/>
              <w:rPr>
                <w:rFonts w:ascii="仿宋_GB2312" w:eastAsia="仿宋_GB2312"/>
                <w:color w:val="FF0000"/>
                <w:spacing w:val="-20"/>
                <w:sz w:val="24"/>
                <w:szCs w:val="24"/>
              </w:rPr>
            </w:pPr>
          </w:p>
        </w:tc>
        <w:tc>
          <w:tcPr>
            <w:tcW w:w="1283" w:type="dxa"/>
            <w:vMerge w:val="continue"/>
            <w:vAlign w:val="center"/>
          </w:tcPr>
          <w:p>
            <w:pPr>
              <w:kinsoku w:val="0"/>
              <w:overflowPunct w:val="0"/>
              <w:autoSpaceDE w:val="0"/>
              <w:autoSpaceDN w:val="0"/>
              <w:adjustRightInd w:val="0"/>
              <w:snapToGrid w:val="0"/>
              <w:spacing w:line="300" w:lineRule="exact"/>
              <w:jc w:val="center"/>
              <w:rPr>
                <w:rFonts w:ascii="仿宋_GB2312" w:eastAsia="仿宋_GB2312"/>
                <w:color w:val="FF0000"/>
                <w:spacing w:val="-2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eastAsia="仿宋_GB2312"/>
                <w:color w:val="FF0000"/>
                <w:spacing w:val="-20"/>
                <w:sz w:val="24"/>
                <w:szCs w:val="24"/>
              </w:rPr>
            </w:pPr>
          </w:p>
        </w:tc>
        <w:tc>
          <w:tcPr>
            <w:tcW w:w="4407" w:type="dxa"/>
            <w:vMerge w:val="continue"/>
            <w:vAlign w:val="center"/>
          </w:tcPr>
          <w:p>
            <w:pPr>
              <w:kinsoku w:val="0"/>
              <w:overflowPunct w:val="0"/>
              <w:autoSpaceDE w:val="0"/>
              <w:autoSpaceDN w:val="0"/>
              <w:adjustRightInd w:val="0"/>
              <w:snapToGrid w:val="0"/>
              <w:spacing w:line="280" w:lineRule="exact"/>
              <w:jc w:val="left"/>
              <w:rPr>
                <w:rFonts w:ascii="仿宋_GB2312" w:eastAsia="仿宋_GB2312"/>
                <w:color w:val="000000"/>
                <w:spacing w:val="-20"/>
                <w:sz w:val="24"/>
                <w:szCs w:val="24"/>
              </w:rPr>
            </w:pPr>
          </w:p>
        </w:tc>
        <w:tc>
          <w:tcPr>
            <w:tcW w:w="1224" w:type="dxa"/>
            <w:vMerge w:val="continue"/>
            <w:vAlign w:val="center"/>
          </w:tcPr>
          <w:p>
            <w:pPr>
              <w:kinsoku w:val="0"/>
              <w:overflowPunct w:val="0"/>
              <w:autoSpaceDE w:val="0"/>
              <w:autoSpaceDN w:val="0"/>
              <w:adjustRightInd w:val="0"/>
              <w:snapToGrid w:val="0"/>
              <w:spacing w:line="300" w:lineRule="exact"/>
              <w:jc w:val="center"/>
              <w:rPr>
                <w:rFonts w:ascii="仿宋_GB2312" w:eastAsia="仿宋_GB2312"/>
                <w:color w:val="FF0000"/>
                <w:spacing w:val="-2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702" w:type="dxa"/>
            <w:vMerge w:val="continue"/>
            <w:vAlign w:val="center"/>
          </w:tcPr>
          <w:p>
            <w:pPr>
              <w:kinsoku w:val="0"/>
              <w:overflowPunct w:val="0"/>
              <w:autoSpaceDE w:val="0"/>
              <w:autoSpaceDN w:val="0"/>
              <w:adjustRightInd w:val="0"/>
              <w:snapToGrid w:val="0"/>
              <w:spacing w:line="300" w:lineRule="exact"/>
              <w:jc w:val="center"/>
              <w:rPr>
                <w:rFonts w:ascii="仿宋_GB2312" w:eastAsia="仿宋_GB2312"/>
                <w:color w:val="FF0000"/>
                <w:spacing w:val="-32"/>
                <w:sz w:val="24"/>
                <w:szCs w:val="24"/>
              </w:rPr>
            </w:pPr>
          </w:p>
        </w:tc>
        <w:tc>
          <w:tcPr>
            <w:tcW w:w="1228" w:type="dxa"/>
            <w:vMerge w:val="continue"/>
            <w:vAlign w:val="center"/>
          </w:tcPr>
          <w:p>
            <w:pPr>
              <w:kinsoku w:val="0"/>
              <w:overflowPunct w:val="0"/>
              <w:autoSpaceDE w:val="0"/>
              <w:autoSpaceDN w:val="0"/>
              <w:adjustRightInd w:val="0"/>
              <w:snapToGrid w:val="0"/>
              <w:spacing w:line="300" w:lineRule="exact"/>
              <w:rPr>
                <w:rFonts w:ascii="仿宋_GB2312" w:eastAsia="仿宋_GB2312"/>
                <w:color w:val="000000"/>
                <w:spacing w:val="-20"/>
                <w:sz w:val="24"/>
                <w:szCs w:val="24"/>
              </w:rPr>
            </w:pPr>
          </w:p>
        </w:tc>
        <w:tc>
          <w:tcPr>
            <w:tcW w:w="3568" w:type="dxa"/>
            <w:tcBorders>
              <w:top w:val="single" w:color="auto" w:sz="4" w:space="0"/>
              <w:bottom w:val="single" w:color="auto" w:sz="4" w:space="0"/>
            </w:tcBorders>
            <w:vAlign w:val="center"/>
          </w:tcPr>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通过农业机械推广鉴定的产品及证书监督检查</w:t>
            </w:r>
          </w:p>
        </w:tc>
        <w:tc>
          <w:tcPr>
            <w:tcW w:w="1283" w:type="dxa"/>
            <w:vMerge w:val="continue"/>
            <w:vAlign w:val="center"/>
          </w:tcPr>
          <w:p>
            <w:pPr>
              <w:kinsoku w:val="0"/>
              <w:overflowPunct w:val="0"/>
              <w:autoSpaceDE w:val="0"/>
              <w:autoSpaceDN w:val="0"/>
              <w:adjustRightInd w:val="0"/>
              <w:snapToGrid w:val="0"/>
              <w:spacing w:line="300" w:lineRule="exact"/>
              <w:rPr>
                <w:rFonts w:ascii="仿宋_GB2312" w:eastAsia="仿宋_GB2312"/>
                <w:color w:val="FF0000"/>
                <w:spacing w:val="-20"/>
                <w:sz w:val="24"/>
                <w:szCs w:val="24"/>
              </w:rPr>
            </w:pPr>
          </w:p>
        </w:tc>
        <w:tc>
          <w:tcPr>
            <w:tcW w:w="1283" w:type="dxa"/>
            <w:vMerge w:val="continue"/>
            <w:vAlign w:val="center"/>
          </w:tcPr>
          <w:p>
            <w:pPr>
              <w:kinsoku w:val="0"/>
              <w:overflowPunct w:val="0"/>
              <w:autoSpaceDE w:val="0"/>
              <w:autoSpaceDN w:val="0"/>
              <w:adjustRightInd w:val="0"/>
              <w:snapToGrid w:val="0"/>
              <w:spacing w:line="300" w:lineRule="exact"/>
              <w:jc w:val="center"/>
              <w:rPr>
                <w:rFonts w:ascii="仿宋_GB2312" w:eastAsia="仿宋_GB2312"/>
                <w:color w:val="FF0000"/>
                <w:spacing w:val="-2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eastAsia="仿宋_GB2312"/>
                <w:color w:val="FF0000"/>
                <w:spacing w:val="-20"/>
                <w:sz w:val="24"/>
                <w:szCs w:val="24"/>
              </w:rPr>
            </w:pPr>
          </w:p>
        </w:tc>
        <w:tc>
          <w:tcPr>
            <w:tcW w:w="4407" w:type="dxa"/>
            <w:vMerge w:val="continue"/>
            <w:vAlign w:val="center"/>
          </w:tcPr>
          <w:p>
            <w:pPr>
              <w:kinsoku w:val="0"/>
              <w:overflowPunct w:val="0"/>
              <w:autoSpaceDE w:val="0"/>
              <w:autoSpaceDN w:val="0"/>
              <w:adjustRightInd w:val="0"/>
              <w:snapToGrid w:val="0"/>
              <w:spacing w:line="280" w:lineRule="exact"/>
              <w:jc w:val="left"/>
              <w:rPr>
                <w:rFonts w:ascii="仿宋_GB2312" w:eastAsia="仿宋_GB2312"/>
                <w:color w:val="000000"/>
                <w:spacing w:val="-20"/>
                <w:sz w:val="24"/>
                <w:szCs w:val="24"/>
              </w:rPr>
            </w:pPr>
          </w:p>
        </w:tc>
        <w:tc>
          <w:tcPr>
            <w:tcW w:w="1224" w:type="dxa"/>
            <w:vMerge w:val="continue"/>
            <w:vAlign w:val="center"/>
          </w:tcPr>
          <w:p>
            <w:pPr>
              <w:kinsoku w:val="0"/>
              <w:overflowPunct w:val="0"/>
              <w:autoSpaceDE w:val="0"/>
              <w:autoSpaceDN w:val="0"/>
              <w:adjustRightInd w:val="0"/>
              <w:snapToGrid w:val="0"/>
              <w:spacing w:line="300" w:lineRule="exact"/>
              <w:jc w:val="center"/>
              <w:rPr>
                <w:rFonts w:ascii="仿宋_GB2312" w:eastAsia="仿宋_GB2312"/>
                <w:color w:val="FF0000"/>
                <w:spacing w:val="-2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trPr>
        <w:tc>
          <w:tcPr>
            <w:tcW w:w="702" w:type="dxa"/>
            <w:vMerge w:val="continue"/>
            <w:vAlign w:val="center"/>
          </w:tcPr>
          <w:p>
            <w:pPr>
              <w:kinsoku w:val="0"/>
              <w:overflowPunct w:val="0"/>
              <w:autoSpaceDE w:val="0"/>
              <w:autoSpaceDN w:val="0"/>
              <w:adjustRightInd w:val="0"/>
              <w:snapToGrid w:val="0"/>
              <w:spacing w:line="300" w:lineRule="exact"/>
              <w:jc w:val="center"/>
              <w:rPr>
                <w:rFonts w:ascii="仿宋_GB2312" w:eastAsia="仿宋_GB2312"/>
                <w:color w:val="FF0000"/>
                <w:spacing w:val="-32"/>
                <w:sz w:val="24"/>
                <w:szCs w:val="24"/>
              </w:rPr>
            </w:pPr>
          </w:p>
        </w:tc>
        <w:tc>
          <w:tcPr>
            <w:tcW w:w="1228" w:type="dxa"/>
            <w:vMerge w:val="continue"/>
            <w:vAlign w:val="center"/>
          </w:tcPr>
          <w:p>
            <w:pPr>
              <w:kinsoku w:val="0"/>
              <w:overflowPunct w:val="0"/>
              <w:autoSpaceDE w:val="0"/>
              <w:autoSpaceDN w:val="0"/>
              <w:adjustRightInd w:val="0"/>
              <w:snapToGrid w:val="0"/>
              <w:spacing w:line="300" w:lineRule="exact"/>
              <w:rPr>
                <w:rFonts w:ascii="仿宋_GB2312" w:eastAsia="仿宋_GB2312"/>
                <w:color w:val="000000"/>
                <w:spacing w:val="-20"/>
                <w:sz w:val="24"/>
                <w:szCs w:val="24"/>
              </w:rPr>
            </w:pPr>
          </w:p>
        </w:tc>
        <w:tc>
          <w:tcPr>
            <w:tcW w:w="3568" w:type="dxa"/>
            <w:tcBorders>
              <w:top w:val="single" w:color="auto" w:sz="4" w:space="0"/>
              <w:bottom w:val="single" w:color="auto" w:sz="4" w:space="0"/>
            </w:tcBorders>
            <w:vAlign w:val="center"/>
          </w:tcPr>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种子监督检查</w:t>
            </w:r>
          </w:p>
        </w:tc>
        <w:tc>
          <w:tcPr>
            <w:tcW w:w="1283" w:type="dxa"/>
            <w:vMerge w:val="continue"/>
            <w:vAlign w:val="center"/>
          </w:tcPr>
          <w:p>
            <w:pPr>
              <w:kinsoku w:val="0"/>
              <w:overflowPunct w:val="0"/>
              <w:autoSpaceDE w:val="0"/>
              <w:autoSpaceDN w:val="0"/>
              <w:adjustRightInd w:val="0"/>
              <w:snapToGrid w:val="0"/>
              <w:spacing w:line="300" w:lineRule="exact"/>
              <w:rPr>
                <w:rFonts w:ascii="仿宋_GB2312" w:eastAsia="仿宋_GB2312"/>
                <w:color w:val="FF0000"/>
                <w:spacing w:val="-20"/>
                <w:sz w:val="24"/>
                <w:szCs w:val="24"/>
              </w:rPr>
            </w:pPr>
          </w:p>
        </w:tc>
        <w:tc>
          <w:tcPr>
            <w:tcW w:w="1283" w:type="dxa"/>
            <w:vMerge w:val="continue"/>
            <w:vAlign w:val="center"/>
          </w:tcPr>
          <w:p>
            <w:pPr>
              <w:kinsoku w:val="0"/>
              <w:overflowPunct w:val="0"/>
              <w:autoSpaceDE w:val="0"/>
              <w:autoSpaceDN w:val="0"/>
              <w:adjustRightInd w:val="0"/>
              <w:snapToGrid w:val="0"/>
              <w:spacing w:line="300" w:lineRule="exact"/>
              <w:jc w:val="center"/>
              <w:rPr>
                <w:rFonts w:ascii="仿宋_GB2312" w:eastAsia="仿宋_GB2312"/>
                <w:color w:val="FF0000"/>
                <w:spacing w:val="-2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eastAsia="仿宋_GB2312"/>
                <w:color w:val="FF0000"/>
                <w:spacing w:val="-20"/>
                <w:sz w:val="24"/>
                <w:szCs w:val="24"/>
              </w:rPr>
            </w:pPr>
          </w:p>
        </w:tc>
        <w:tc>
          <w:tcPr>
            <w:tcW w:w="4407" w:type="dxa"/>
            <w:vMerge w:val="continue"/>
            <w:vAlign w:val="center"/>
          </w:tcPr>
          <w:p>
            <w:pPr>
              <w:kinsoku w:val="0"/>
              <w:overflowPunct w:val="0"/>
              <w:autoSpaceDE w:val="0"/>
              <w:autoSpaceDN w:val="0"/>
              <w:adjustRightInd w:val="0"/>
              <w:snapToGrid w:val="0"/>
              <w:spacing w:line="280" w:lineRule="exact"/>
              <w:jc w:val="left"/>
              <w:rPr>
                <w:rFonts w:ascii="仿宋_GB2312" w:eastAsia="仿宋_GB2312"/>
                <w:color w:val="000000"/>
                <w:spacing w:val="-20"/>
                <w:sz w:val="24"/>
                <w:szCs w:val="24"/>
              </w:rPr>
            </w:pPr>
          </w:p>
        </w:tc>
        <w:tc>
          <w:tcPr>
            <w:tcW w:w="1224" w:type="dxa"/>
            <w:vMerge w:val="continue"/>
            <w:vAlign w:val="center"/>
          </w:tcPr>
          <w:p>
            <w:pPr>
              <w:kinsoku w:val="0"/>
              <w:overflowPunct w:val="0"/>
              <w:autoSpaceDE w:val="0"/>
              <w:autoSpaceDN w:val="0"/>
              <w:adjustRightInd w:val="0"/>
              <w:snapToGrid w:val="0"/>
              <w:spacing w:line="300" w:lineRule="exact"/>
              <w:jc w:val="center"/>
              <w:rPr>
                <w:rFonts w:ascii="仿宋_GB2312" w:eastAsia="仿宋_GB2312"/>
                <w:color w:val="FF0000"/>
                <w:spacing w:val="-2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trPr>
        <w:tc>
          <w:tcPr>
            <w:tcW w:w="702" w:type="dxa"/>
            <w:vMerge w:val="continue"/>
            <w:vAlign w:val="center"/>
          </w:tcPr>
          <w:p>
            <w:pPr>
              <w:kinsoku w:val="0"/>
              <w:overflowPunct w:val="0"/>
              <w:autoSpaceDE w:val="0"/>
              <w:autoSpaceDN w:val="0"/>
              <w:adjustRightInd w:val="0"/>
              <w:snapToGrid w:val="0"/>
              <w:spacing w:line="300" w:lineRule="exact"/>
              <w:jc w:val="center"/>
              <w:rPr>
                <w:rFonts w:ascii="仿宋_GB2312" w:eastAsia="仿宋_GB2312"/>
                <w:color w:val="FF0000"/>
                <w:spacing w:val="-32"/>
                <w:sz w:val="24"/>
                <w:szCs w:val="24"/>
              </w:rPr>
            </w:pPr>
          </w:p>
        </w:tc>
        <w:tc>
          <w:tcPr>
            <w:tcW w:w="1228" w:type="dxa"/>
            <w:vMerge w:val="continue"/>
            <w:vAlign w:val="center"/>
          </w:tcPr>
          <w:p>
            <w:pPr>
              <w:kinsoku w:val="0"/>
              <w:overflowPunct w:val="0"/>
              <w:autoSpaceDE w:val="0"/>
              <w:autoSpaceDN w:val="0"/>
              <w:adjustRightInd w:val="0"/>
              <w:snapToGrid w:val="0"/>
              <w:spacing w:line="300" w:lineRule="exact"/>
              <w:rPr>
                <w:rFonts w:ascii="仿宋_GB2312" w:eastAsia="仿宋_GB2312"/>
                <w:color w:val="000000"/>
                <w:spacing w:val="-20"/>
                <w:sz w:val="24"/>
                <w:szCs w:val="24"/>
              </w:rPr>
            </w:pPr>
          </w:p>
        </w:tc>
        <w:tc>
          <w:tcPr>
            <w:tcW w:w="3568" w:type="dxa"/>
            <w:tcBorders>
              <w:top w:val="single" w:color="auto" w:sz="4" w:space="0"/>
              <w:bottom w:val="single" w:color="auto" w:sz="4" w:space="0"/>
            </w:tcBorders>
            <w:vAlign w:val="center"/>
          </w:tcPr>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兽药监督检查</w:t>
            </w:r>
          </w:p>
        </w:tc>
        <w:tc>
          <w:tcPr>
            <w:tcW w:w="1283" w:type="dxa"/>
            <w:vMerge w:val="continue"/>
            <w:vAlign w:val="center"/>
          </w:tcPr>
          <w:p>
            <w:pPr>
              <w:kinsoku w:val="0"/>
              <w:overflowPunct w:val="0"/>
              <w:autoSpaceDE w:val="0"/>
              <w:autoSpaceDN w:val="0"/>
              <w:adjustRightInd w:val="0"/>
              <w:snapToGrid w:val="0"/>
              <w:spacing w:line="300" w:lineRule="exact"/>
              <w:rPr>
                <w:rFonts w:ascii="仿宋_GB2312" w:eastAsia="仿宋_GB2312"/>
                <w:color w:val="FF0000"/>
                <w:spacing w:val="-20"/>
                <w:sz w:val="24"/>
                <w:szCs w:val="24"/>
              </w:rPr>
            </w:pPr>
          </w:p>
        </w:tc>
        <w:tc>
          <w:tcPr>
            <w:tcW w:w="1283" w:type="dxa"/>
            <w:vMerge w:val="continue"/>
            <w:vAlign w:val="center"/>
          </w:tcPr>
          <w:p>
            <w:pPr>
              <w:kinsoku w:val="0"/>
              <w:overflowPunct w:val="0"/>
              <w:autoSpaceDE w:val="0"/>
              <w:autoSpaceDN w:val="0"/>
              <w:adjustRightInd w:val="0"/>
              <w:snapToGrid w:val="0"/>
              <w:spacing w:line="300" w:lineRule="exact"/>
              <w:jc w:val="center"/>
              <w:rPr>
                <w:rFonts w:ascii="仿宋_GB2312" w:eastAsia="仿宋_GB2312"/>
                <w:color w:val="FF0000"/>
                <w:spacing w:val="-2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eastAsia="仿宋_GB2312"/>
                <w:color w:val="FF0000"/>
                <w:spacing w:val="-20"/>
                <w:sz w:val="24"/>
                <w:szCs w:val="24"/>
              </w:rPr>
            </w:pPr>
          </w:p>
        </w:tc>
        <w:tc>
          <w:tcPr>
            <w:tcW w:w="4407" w:type="dxa"/>
            <w:vMerge w:val="continue"/>
            <w:vAlign w:val="center"/>
          </w:tcPr>
          <w:p>
            <w:pPr>
              <w:kinsoku w:val="0"/>
              <w:overflowPunct w:val="0"/>
              <w:autoSpaceDE w:val="0"/>
              <w:autoSpaceDN w:val="0"/>
              <w:adjustRightInd w:val="0"/>
              <w:snapToGrid w:val="0"/>
              <w:spacing w:line="280" w:lineRule="exact"/>
              <w:jc w:val="left"/>
              <w:rPr>
                <w:rFonts w:ascii="仿宋_GB2312" w:eastAsia="仿宋_GB2312"/>
                <w:color w:val="FF0000"/>
                <w:spacing w:val="-20"/>
                <w:sz w:val="24"/>
                <w:szCs w:val="24"/>
              </w:rPr>
            </w:pPr>
          </w:p>
        </w:tc>
        <w:tc>
          <w:tcPr>
            <w:tcW w:w="1224" w:type="dxa"/>
            <w:vMerge w:val="continue"/>
            <w:vAlign w:val="center"/>
          </w:tcPr>
          <w:p>
            <w:pPr>
              <w:kinsoku w:val="0"/>
              <w:overflowPunct w:val="0"/>
              <w:autoSpaceDE w:val="0"/>
              <w:autoSpaceDN w:val="0"/>
              <w:adjustRightInd w:val="0"/>
              <w:snapToGrid w:val="0"/>
              <w:spacing w:line="300" w:lineRule="exact"/>
              <w:jc w:val="center"/>
              <w:rPr>
                <w:rFonts w:ascii="仿宋_GB2312" w:eastAsia="仿宋_GB2312"/>
                <w:color w:val="FF0000"/>
                <w:spacing w:val="-2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702" w:type="dxa"/>
            <w:vMerge w:val="continue"/>
            <w:vAlign w:val="center"/>
          </w:tcPr>
          <w:p>
            <w:pPr>
              <w:kinsoku w:val="0"/>
              <w:overflowPunct w:val="0"/>
              <w:autoSpaceDE w:val="0"/>
              <w:autoSpaceDN w:val="0"/>
              <w:adjustRightInd w:val="0"/>
              <w:snapToGrid w:val="0"/>
              <w:spacing w:line="300" w:lineRule="exact"/>
              <w:jc w:val="center"/>
              <w:rPr>
                <w:rFonts w:ascii="仿宋_GB2312" w:eastAsia="仿宋_GB2312"/>
                <w:color w:val="FF0000"/>
                <w:spacing w:val="-32"/>
                <w:sz w:val="24"/>
                <w:szCs w:val="24"/>
              </w:rPr>
            </w:pPr>
          </w:p>
        </w:tc>
        <w:tc>
          <w:tcPr>
            <w:tcW w:w="1228" w:type="dxa"/>
            <w:vMerge w:val="continue"/>
            <w:vAlign w:val="center"/>
          </w:tcPr>
          <w:p>
            <w:pPr>
              <w:kinsoku w:val="0"/>
              <w:overflowPunct w:val="0"/>
              <w:autoSpaceDE w:val="0"/>
              <w:autoSpaceDN w:val="0"/>
              <w:adjustRightInd w:val="0"/>
              <w:snapToGrid w:val="0"/>
              <w:spacing w:line="300" w:lineRule="exact"/>
              <w:rPr>
                <w:rFonts w:ascii="仿宋_GB2312" w:eastAsia="仿宋_GB2312"/>
                <w:color w:val="000000"/>
                <w:spacing w:val="-20"/>
                <w:sz w:val="24"/>
                <w:szCs w:val="24"/>
              </w:rPr>
            </w:pPr>
          </w:p>
        </w:tc>
        <w:tc>
          <w:tcPr>
            <w:tcW w:w="3568" w:type="dxa"/>
            <w:tcBorders>
              <w:top w:val="single" w:color="auto" w:sz="4" w:space="0"/>
            </w:tcBorders>
            <w:vAlign w:val="center"/>
          </w:tcPr>
          <w:p>
            <w:pPr>
              <w:kinsoku w:val="0"/>
              <w:overflowPunct w:val="0"/>
              <w:autoSpaceDE w:val="0"/>
              <w:autoSpaceDN w:val="0"/>
              <w:adjustRightInd w:val="0"/>
              <w:snapToGrid w:val="0"/>
              <w:spacing w:line="360" w:lineRule="exact"/>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饲料、饲料添加剂监督抽查</w:t>
            </w:r>
          </w:p>
        </w:tc>
        <w:tc>
          <w:tcPr>
            <w:tcW w:w="1283" w:type="dxa"/>
            <w:vMerge w:val="continue"/>
            <w:vAlign w:val="center"/>
          </w:tcPr>
          <w:p>
            <w:pPr>
              <w:kinsoku w:val="0"/>
              <w:overflowPunct w:val="0"/>
              <w:autoSpaceDE w:val="0"/>
              <w:autoSpaceDN w:val="0"/>
              <w:adjustRightInd w:val="0"/>
              <w:snapToGrid w:val="0"/>
              <w:spacing w:line="300" w:lineRule="exact"/>
              <w:rPr>
                <w:rFonts w:ascii="仿宋_GB2312" w:eastAsia="仿宋_GB2312"/>
                <w:color w:val="FF0000"/>
                <w:spacing w:val="-20"/>
                <w:sz w:val="24"/>
                <w:szCs w:val="24"/>
              </w:rPr>
            </w:pPr>
          </w:p>
        </w:tc>
        <w:tc>
          <w:tcPr>
            <w:tcW w:w="1283" w:type="dxa"/>
            <w:vMerge w:val="continue"/>
            <w:vAlign w:val="center"/>
          </w:tcPr>
          <w:p>
            <w:pPr>
              <w:kinsoku w:val="0"/>
              <w:overflowPunct w:val="0"/>
              <w:autoSpaceDE w:val="0"/>
              <w:autoSpaceDN w:val="0"/>
              <w:adjustRightInd w:val="0"/>
              <w:snapToGrid w:val="0"/>
              <w:spacing w:line="300" w:lineRule="exact"/>
              <w:jc w:val="center"/>
              <w:rPr>
                <w:rFonts w:ascii="仿宋_GB2312" w:eastAsia="仿宋_GB2312"/>
                <w:color w:val="FF0000"/>
                <w:spacing w:val="-2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eastAsia="仿宋_GB2312"/>
                <w:color w:val="FF0000"/>
                <w:spacing w:val="-20"/>
                <w:sz w:val="24"/>
                <w:szCs w:val="24"/>
              </w:rPr>
            </w:pPr>
          </w:p>
        </w:tc>
        <w:tc>
          <w:tcPr>
            <w:tcW w:w="4407" w:type="dxa"/>
            <w:vMerge w:val="continue"/>
            <w:vAlign w:val="center"/>
          </w:tcPr>
          <w:p>
            <w:pPr>
              <w:shd w:val="clear" w:color="auto" w:fill="FFFFFF"/>
              <w:kinsoku w:val="0"/>
              <w:overflowPunct w:val="0"/>
              <w:autoSpaceDE w:val="0"/>
              <w:autoSpaceDN w:val="0"/>
              <w:adjustRightInd w:val="0"/>
              <w:snapToGrid w:val="0"/>
              <w:spacing w:line="300" w:lineRule="exact"/>
              <w:rPr>
                <w:rFonts w:ascii="仿宋_GB2312" w:eastAsia="仿宋_GB2312"/>
                <w:color w:val="FF0000"/>
                <w:spacing w:val="-20"/>
                <w:sz w:val="24"/>
                <w:szCs w:val="24"/>
              </w:rPr>
            </w:pPr>
          </w:p>
        </w:tc>
        <w:tc>
          <w:tcPr>
            <w:tcW w:w="1224" w:type="dxa"/>
            <w:vMerge w:val="continue"/>
            <w:vAlign w:val="center"/>
          </w:tcPr>
          <w:p>
            <w:pPr>
              <w:kinsoku w:val="0"/>
              <w:overflowPunct w:val="0"/>
              <w:autoSpaceDE w:val="0"/>
              <w:autoSpaceDN w:val="0"/>
              <w:adjustRightInd w:val="0"/>
              <w:snapToGrid w:val="0"/>
              <w:spacing w:line="300" w:lineRule="exact"/>
              <w:jc w:val="center"/>
              <w:rPr>
                <w:rFonts w:ascii="仿宋_GB2312" w:eastAsia="仿宋_GB2312"/>
                <w:color w:val="FF0000"/>
                <w:spacing w:val="-2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2" w:type="dxa"/>
            <w:tcBorders>
              <w:top w:val="single" w:color="auto" w:sz="4" w:space="0"/>
            </w:tcBorders>
            <w:vAlign w:val="center"/>
          </w:tcPr>
          <w:p>
            <w:pPr>
              <w:kinsoku w:val="0"/>
              <w:overflowPunct w:val="0"/>
              <w:autoSpaceDE w:val="0"/>
              <w:autoSpaceDN w:val="0"/>
              <w:adjustRightInd w:val="0"/>
              <w:snapToGrid w:val="0"/>
              <w:spacing w:line="300" w:lineRule="exact"/>
              <w:jc w:val="center"/>
              <w:rPr>
                <w:rFonts w:hint="default" w:ascii="仿宋_GB2312" w:hAnsi="黑体" w:eastAsia="仿宋_GB2312"/>
                <w:color w:val="000000"/>
                <w:spacing w:val="-20"/>
                <w:kern w:val="0"/>
                <w:sz w:val="24"/>
                <w:szCs w:val="24"/>
                <w:lang w:val="en-US" w:eastAsia="zh-CN"/>
              </w:rPr>
            </w:pPr>
            <w:r>
              <w:rPr>
                <w:rFonts w:hint="eastAsia" w:ascii="仿宋_GB2312" w:hAnsi="黑体" w:eastAsia="仿宋_GB2312"/>
                <w:color w:val="000000"/>
                <w:spacing w:val="-20"/>
                <w:kern w:val="0"/>
                <w:sz w:val="24"/>
                <w:szCs w:val="24"/>
                <w:lang w:val="en-US" w:eastAsia="zh-CN"/>
              </w:rPr>
              <w:t>18</w:t>
            </w:r>
          </w:p>
        </w:tc>
        <w:tc>
          <w:tcPr>
            <w:tcW w:w="1228" w:type="dxa"/>
            <w:tcBorders>
              <w:top w:val="nil"/>
              <w:right w:val="single" w:color="auto" w:sz="4" w:space="0"/>
            </w:tcBorders>
            <w:vAlign w:val="center"/>
          </w:tcPr>
          <w:p>
            <w:pPr>
              <w:kinsoku w:val="0"/>
              <w:overflowPunct w:val="0"/>
              <w:autoSpaceDE w:val="0"/>
              <w:autoSpaceDN w:val="0"/>
              <w:adjustRightInd w:val="0"/>
              <w:snapToGrid w:val="0"/>
              <w:spacing w:line="300" w:lineRule="exact"/>
              <w:rPr>
                <w:rFonts w:ascii="仿宋_GB2312" w:eastAsia="仿宋_GB2312"/>
                <w:color w:val="000000"/>
                <w:spacing w:val="-24"/>
                <w:sz w:val="24"/>
                <w:szCs w:val="24"/>
              </w:rPr>
            </w:pPr>
            <w:r>
              <w:rPr>
                <w:rFonts w:hint="eastAsia" w:ascii="仿宋_GB2312" w:eastAsia="仿宋_GB2312" w:cs="仿宋_GB2312"/>
                <w:color w:val="000000"/>
                <w:spacing w:val="-24"/>
                <w:sz w:val="24"/>
                <w:szCs w:val="24"/>
              </w:rPr>
              <w:t>再生资源回收经营企业监督检查</w:t>
            </w:r>
          </w:p>
        </w:tc>
        <w:tc>
          <w:tcPr>
            <w:tcW w:w="3568" w:type="dxa"/>
            <w:tcBorders>
              <w:top w:val="single" w:color="auto" w:sz="4" w:space="0"/>
              <w:left w:val="single" w:color="auto" w:sz="4" w:space="0"/>
            </w:tcBorders>
            <w:vAlign w:val="center"/>
          </w:tcPr>
          <w:p>
            <w:pPr>
              <w:kinsoku w:val="0"/>
              <w:overflowPunct w:val="0"/>
              <w:autoSpaceDE w:val="0"/>
              <w:autoSpaceDN w:val="0"/>
              <w:adjustRightInd w:val="0"/>
              <w:snapToGrid w:val="0"/>
              <w:spacing w:line="300" w:lineRule="exact"/>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对再生资源回收经营企业的监督检查</w:t>
            </w:r>
          </w:p>
        </w:tc>
        <w:tc>
          <w:tcPr>
            <w:tcW w:w="1283" w:type="dxa"/>
            <w:tcBorders>
              <w:top w:val="single" w:color="auto" w:sz="4" w:space="0"/>
              <w:bottom w:val="single" w:color="auto" w:sz="4" w:space="0"/>
            </w:tcBorders>
            <w:vAlign w:val="center"/>
          </w:tcPr>
          <w:p>
            <w:pPr>
              <w:kinsoku w:val="0"/>
              <w:overflowPunct w:val="0"/>
              <w:autoSpaceDE w:val="0"/>
              <w:autoSpaceDN w:val="0"/>
              <w:adjustRightInd w:val="0"/>
              <w:snapToGrid w:val="0"/>
              <w:spacing w:line="30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全区再生资源回收站点</w:t>
            </w:r>
          </w:p>
        </w:tc>
        <w:tc>
          <w:tcPr>
            <w:tcW w:w="1283" w:type="dxa"/>
            <w:tcBorders>
              <w:top w:val="single" w:color="auto" w:sz="4" w:space="0"/>
              <w:bottom w:val="single" w:color="auto" w:sz="4" w:space="0"/>
            </w:tcBorders>
            <w:vAlign w:val="center"/>
          </w:tcPr>
          <w:p>
            <w:pPr>
              <w:spacing w:line="300" w:lineRule="exact"/>
              <w:jc w:val="center"/>
              <w:rPr>
                <w:rFonts w:hint="eastAsia" w:ascii="仿宋_GB2312" w:hAnsi="宋体" w:eastAsia="仿宋_GB2312" w:cs="仿宋_GB2312"/>
                <w:color w:val="000000"/>
                <w:spacing w:val="-30"/>
                <w:sz w:val="24"/>
                <w:szCs w:val="24"/>
              </w:rPr>
            </w:pPr>
            <w:r>
              <w:rPr>
                <w:rFonts w:hint="eastAsia" w:ascii="仿宋_GB2312" w:hAnsi="宋体" w:eastAsia="仿宋_GB2312" w:cs="仿宋_GB2312"/>
                <w:color w:val="000000"/>
                <w:spacing w:val="-30"/>
                <w:sz w:val="24"/>
                <w:szCs w:val="24"/>
              </w:rPr>
              <w:t>一般</w:t>
            </w:r>
          </w:p>
          <w:p>
            <w:pPr>
              <w:spacing w:line="300" w:lineRule="exact"/>
              <w:jc w:val="center"/>
              <w:rPr>
                <w:rFonts w:ascii="仿宋_GB2312" w:eastAsia="仿宋_GB2312"/>
                <w:color w:val="000000"/>
                <w:spacing w:val="-20"/>
                <w:sz w:val="24"/>
                <w:szCs w:val="24"/>
              </w:rPr>
            </w:pPr>
            <w:r>
              <w:rPr>
                <w:rFonts w:hint="eastAsia" w:ascii="仿宋_GB2312" w:hAnsi="宋体" w:eastAsia="仿宋_GB2312" w:cs="仿宋_GB2312"/>
                <w:color w:val="000000"/>
                <w:spacing w:val="-30"/>
                <w:sz w:val="24"/>
                <w:szCs w:val="24"/>
              </w:rPr>
              <w:t>检查事项</w:t>
            </w:r>
          </w:p>
        </w:tc>
        <w:tc>
          <w:tcPr>
            <w:tcW w:w="1267" w:type="dxa"/>
            <w:tcBorders>
              <w:top w:val="single" w:color="auto" w:sz="4" w:space="0"/>
              <w:bottom w:val="single" w:color="auto" w:sz="4" w:space="0"/>
            </w:tcBorders>
            <w:vAlign w:val="center"/>
          </w:tcPr>
          <w:p>
            <w:pPr>
              <w:kinsoku w:val="0"/>
              <w:overflowPunct w:val="0"/>
              <w:autoSpaceDE w:val="0"/>
              <w:autoSpaceDN w:val="0"/>
              <w:adjustRightInd w:val="0"/>
              <w:snapToGrid w:val="0"/>
              <w:spacing w:line="280" w:lineRule="exact"/>
              <w:jc w:val="center"/>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书面核查、</w:t>
            </w:r>
          </w:p>
          <w:p>
            <w:pPr>
              <w:kinsoku w:val="0"/>
              <w:overflowPunct w:val="0"/>
              <w:autoSpaceDE w:val="0"/>
              <w:autoSpaceDN w:val="0"/>
              <w:adjustRightInd w:val="0"/>
              <w:snapToGrid w:val="0"/>
              <w:spacing w:line="300" w:lineRule="exact"/>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实地核查</w:t>
            </w:r>
          </w:p>
        </w:tc>
        <w:tc>
          <w:tcPr>
            <w:tcW w:w="4407" w:type="dxa"/>
            <w:tcBorders>
              <w:top w:val="single" w:color="auto" w:sz="4" w:space="0"/>
              <w:bottom w:val="single" w:color="auto" w:sz="4" w:space="0"/>
            </w:tcBorders>
            <w:vAlign w:val="center"/>
          </w:tcPr>
          <w:p>
            <w:pPr>
              <w:kinsoku w:val="0"/>
              <w:overflowPunct w:val="0"/>
              <w:autoSpaceDE w:val="0"/>
              <w:autoSpaceDN w:val="0"/>
              <w:adjustRightInd w:val="0"/>
              <w:snapToGrid w:val="0"/>
              <w:spacing w:line="260" w:lineRule="exact"/>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《再生资源回收管理办法》（商务部、发展改革委、公安部、建设部、工商总局、环保总局令</w:t>
            </w:r>
            <w:r>
              <w:rPr>
                <w:rFonts w:ascii="仿宋_GB2312" w:eastAsia="仿宋_GB2312" w:cs="仿宋_GB2312"/>
                <w:color w:val="000000"/>
                <w:spacing w:val="-20"/>
                <w:sz w:val="24"/>
                <w:szCs w:val="24"/>
              </w:rPr>
              <w:t>2007</w:t>
            </w:r>
            <w:r>
              <w:rPr>
                <w:rFonts w:hint="eastAsia" w:ascii="仿宋_GB2312" w:eastAsia="仿宋_GB2312" w:cs="仿宋_GB2312"/>
                <w:color w:val="000000"/>
                <w:spacing w:val="-20"/>
                <w:sz w:val="24"/>
                <w:szCs w:val="24"/>
              </w:rPr>
              <w:t>年第</w:t>
            </w:r>
            <w:r>
              <w:rPr>
                <w:rFonts w:ascii="仿宋_GB2312" w:eastAsia="仿宋_GB2312" w:cs="仿宋_GB2312"/>
                <w:color w:val="000000"/>
                <w:spacing w:val="-20"/>
                <w:sz w:val="24"/>
                <w:szCs w:val="24"/>
              </w:rPr>
              <w:t>8</w:t>
            </w:r>
            <w:r>
              <w:rPr>
                <w:rFonts w:hint="eastAsia" w:ascii="仿宋_GB2312" w:eastAsia="仿宋_GB2312" w:cs="仿宋_GB2312"/>
                <w:color w:val="000000"/>
                <w:spacing w:val="-20"/>
                <w:sz w:val="24"/>
                <w:szCs w:val="24"/>
              </w:rPr>
              <w:t>号）第十五条，第十六条</w:t>
            </w:r>
          </w:p>
        </w:tc>
        <w:tc>
          <w:tcPr>
            <w:tcW w:w="1224" w:type="dxa"/>
            <w:tcBorders>
              <w:top w:val="single" w:color="auto" w:sz="4" w:space="0"/>
              <w:bottom w:val="single" w:color="auto" w:sz="4" w:space="0"/>
              <w:right w:val="single" w:color="auto" w:sz="4" w:space="0"/>
            </w:tcBorders>
            <w:vAlign w:val="center"/>
          </w:tcPr>
          <w:p>
            <w:pPr>
              <w:jc w:val="center"/>
              <w:rPr>
                <w:rFonts w:ascii="宋体"/>
                <w:b/>
                <w:bCs/>
                <w:color w:val="000000"/>
                <w:sz w:val="24"/>
                <w:szCs w:val="24"/>
              </w:rPr>
            </w:pPr>
            <w:r>
              <w:rPr>
                <w:rFonts w:hint="eastAsia" w:ascii="仿宋_GB2312" w:eastAsia="仿宋_GB2312" w:cs="仿宋_GB2312"/>
                <w:color w:val="000000"/>
                <w:spacing w:val="-20"/>
                <w:sz w:val="24"/>
                <w:szCs w:val="24"/>
              </w:rPr>
              <w:t>工信商务局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8" w:hRule="atLeast"/>
        </w:trPr>
        <w:tc>
          <w:tcPr>
            <w:tcW w:w="702" w:type="dxa"/>
            <w:vAlign w:val="center"/>
          </w:tcPr>
          <w:p>
            <w:pPr>
              <w:kinsoku w:val="0"/>
              <w:overflowPunct w:val="0"/>
              <w:autoSpaceDE w:val="0"/>
              <w:autoSpaceDN w:val="0"/>
              <w:adjustRightInd w:val="0"/>
              <w:snapToGrid w:val="0"/>
              <w:spacing w:line="300" w:lineRule="exact"/>
              <w:jc w:val="center"/>
              <w:rPr>
                <w:rFonts w:hint="eastAsia" w:ascii="仿宋_GB2312" w:hAnsi="黑体" w:eastAsia="仿宋_GB2312"/>
                <w:color w:val="000000"/>
                <w:spacing w:val="-20"/>
                <w:kern w:val="0"/>
                <w:sz w:val="24"/>
                <w:szCs w:val="24"/>
                <w:lang w:val="en-US" w:eastAsia="zh-CN"/>
              </w:rPr>
            </w:pPr>
            <w:r>
              <w:rPr>
                <w:rFonts w:ascii="仿宋_GB2312" w:hAnsi="黑体" w:eastAsia="仿宋_GB2312" w:cs="仿宋_GB2312"/>
                <w:color w:val="000000"/>
                <w:spacing w:val="-20"/>
                <w:sz w:val="24"/>
                <w:szCs w:val="24"/>
              </w:rPr>
              <w:t>1</w:t>
            </w:r>
            <w:r>
              <w:rPr>
                <w:rFonts w:hint="eastAsia" w:ascii="仿宋_GB2312" w:hAnsi="黑体" w:eastAsia="仿宋_GB2312" w:cs="仿宋_GB2312"/>
                <w:color w:val="000000"/>
                <w:spacing w:val="-20"/>
                <w:sz w:val="24"/>
                <w:szCs w:val="24"/>
                <w:lang w:val="en-US" w:eastAsia="zh-CN"/>
              </w:rPr>
              <w:t>9</w:t>
            </w:r>
          </w:p>
        </w:tc>
        <w:tc>
          <w:tcPr>
            <w:tcW w:w="1228"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报废机动车回收拆解企业回收拆解活动情况检查</w:t>
            </w:r>
          </w:p>
        </w:tc>
        <w:tc>
          <w:tcPr>
            <w:tcW w:w="3568"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企业落实安全生产管理工作等方面执行情况。</w:t>
            </w:r>
          </w:p>
        </w:tc>
        <w:tc>
          <w:tcPr>
            <w:tcW w:w="1283" w:type="dxa"/>
            <w:tcBorders>
              <w:top w:val="single" w:color="auto" w:sz="4" w:space="0"/>
            </w:tcBorders>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全区报废机动车回收拆解企业</w:t>
            </w:r>
          </w:p>
        </w:tc>
        <w:tc>
          <w:tcPr>
            <w:tcW w:w="1283" w:type="dxa"/>
            <w:tcBorders>
              <w:top w:val="single" w:color="auto" w:sz="4" w:space="0"/>
            </w:tcBorders>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一般</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检查事项</w:t>
            </w:r>
          </w:p>
        </w:tc>
        <w:tc>
          <w:tcPr>
            <w:tcW w:w="1267" w:type="dxa"/>
            <w:tcBorders>
              <w:top w:val="single" w:color="auto" w:sz="4" w:space="0"/>
            </w:tcBorders>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书面核查、</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实地核查</w:t>
            </w:r>
          </w:p>
        </w:tc>
        <w:tc>
          <w:tcPr>
            <w:tcW w:w="4407" w:type="dxa"/>
            <w:tcBorders>
              <w:top w:val="single" w:color="auto" w:sz="4" w:space="0"/>
            </w:tcBorders>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《报废机动车回收管理办法实施细则》商务部令2020年第2号</w:t>
            </w:r>
          </w:p>
        </w:tc>
        <w:tc>
          <w:tcPr>
            <w:tcW w:w="1224" w:type="dxa"/>
            <w:tcBorders>
              <w:top w:val="single" w:color="auto" w:sz="4" w:space="0"/>
              <w:right w:val="single" w:color="auto" w:sz="4" w:space="0"/>
            </w:tcBorders>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工信商务局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1" w:hRule="atLeast"/>
        </w:trPr>
        <w:tc>
          <w:tcPr>
            <w:tcW w:w="702" w:type="dxa"/>
            <w:vAlign w:val="center"/>
          </w:tcPr>
          <w:p>
            <w:pPr>
              <w:kinsoku w:val="0"/>
              <w:overflowPunct w:val="0"/>
              <w:autoSpaceDE w:val="0"/>
              <w:autoSpaceDN w:val="0"/>
              <w:adjustRightInd w:val="0"/>
              <w:snapToGrid w:val="0"/>
              <w:spacing w:line="360" w:lineRule="exact"/>
              <w:jc w:val="center"/>
              <w:rPr>
                <w:rFonts w:hint="default" w:ascii="仿宋_GB2312" w:eastAsia="仿宋_GB2312"/>
                <w:color w:val="000000"/>
                <w:spacing w:val="-20"/>
                <w:sz w:val="24"/>
                <w:szCs w:val="24"/>
                <w:lang w:val="en-US" w:eastAsia="zh-CN"/>
              </w:rPr>
            </w:pPr>
            <w:r>
              <w:rPr>
                <w:rFonts w:hint="eastAsia" w:ascii="仿宋_GB2312" w:eastAsia="仿宋_GB2312"/>
                <w:color w:val="000000"/>
                <w:spacing w:val="-20"/>
                <w:sz w:val="24"/>
                <w:szCs w:val="24"/>
                <w:lang w:val="en-US" w:eastAsia="zh-CN"/>
              </w:rPr>
              <w:t>20</w:t>
            </w:r>
          </w:p>
        </w:tc>
        <w:tc>
          <w:tcPr>
            <w:tcW w:w="1228"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机动车维修经营活动的监督检查</w:t>
            </w:r>
          </w:p>
        </w:tc>
        <w:tc>
          <w:tcPr>
            <w:tcW w:w="3568"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机动车维修经营活动的监督检查</w:t>
            </w:r>
          </w:p>
        </w:tc>
        <w:tc>
          <w:tcPr>
            <w:tcW w:w="1283"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机动车维修企业</w:t>
            </w:r>
          </w:p>
        </w:tc>
        <w:tc>
          <w:tcPr>
            <w:tcW w:w="1283"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一般</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检查事项</w:t>
            </w:r>
          </w:p>
        </w:tc>
        <w:tc>
          <w:tcPr>
            <w:tcW w:w="1267"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书面核查、</w:t>
            </w:r>
          </w:p>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实地核查</w:t>
            </w:r>
          </w:p>
        </w:tc>
        <w:tc>
          <w:tcPr>
            <w:tcW w:w="4407"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《机动车维修管理规定》第四十五条</w:t>
            </w:r>
          </w:p>
        </w:tc>
        <w:tc>
          <w:tcPr>
            <w:tcW w:w="1224" w:type="dxa"/>
            <w:vAlign w:val="center"/>
          </w:tcPr>
          <w:p>
            <w:pPr>
              <w:kinsoku w:val="0"/>
              <w:overflowPunct w:val="0"/>
              <w:autoSpaceDE w:val="0"/>
              <w:autoSpaceDN w:val="0"/>
              <w:adjustRightInd w:val="0"/>
              <w:snapToGrid w:val="0"/>
              <w:spacing w:line="280" w:lineRule="exact"/>
              <w:rPr>
                <w:rFonts w:hint="eastAsia"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高新运管所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2" w:type="dxa"/>
            <w:vMerge w:val="restart"/>
            <w:vAlign w:val="center"/>
          </w:tcPr>
          <w:p>
            <w:pPr>
              <w:kinsoku w:val="0"/>
              <w:overflowPunct w:val="0"/>
              <w:autoSpaceDE w:val="0"/>
              <w:autoSpaceDN w:val="0"/>
              <w:adjustRightInd w:val="0"/>
              <w:snapToGrid w:val="0"/>
              <w:spacing w:line="320" w:lineRule="exact"/>
              <w:jc w:val="center"/>
              <w:rPr>
                <w:rFonts w:hint="default" w:ascii="仿宋_GB2312" w:hAnsi="仿宋_GB2312" w:eastAsia="仿宋_GB2312"/>
                <w:color w:val="000000"/>
                <w:spacing w:val="-28"/>
                <w:sz w:val="24"/>
                <w:szCs w:val="24"/>
                <w:lang w:val="en-US" w:eastAsia="zh-CN"/>
              </w:rPr>
            </w:pPr>
            <w:r>
              <w:rPr>
                <w:rFonts w:hint="eastAsia" w:ascii="仿宋_GB2312" w:hAnsi="仿宋_GB2312" w:eastAsia="仿宋_GB2312"/>
                <w:color w:val="000000"/>
                <w:spacing w:val="-28"/>
                <w:sz w:val="24"/>
                <w:szCs w:val="24"/>
                <w:lang w:val="en-US" w:eastAsia="zh-CN"/>
              </w:rPr>
              <w:t>21</w:t>
            </w:r>
          </w:p>
        </w:tc>
        <w:tc>
          <w:tcPr>
            <w:tcW w:w="1228" w:type="dxa"/>
            <w:vMerge w:val="restart"/>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文化市场</w:t>
            </w:r>
          </w:p>
        </w:tc>
        <w:tc>
          <w:tcPr>
            <w:tcW w:w="3568" w:type="dxa"/>
            <w:tcBorders>
              <w:bottom w:val="single" w:color="auto" w:sz="4" w:space="0"/>
            </w:tcBorders>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1.歌舞娱乐场所的歌曲点播系统是否存在与境外曲库联接的行为，是否存在违禁歌曲；</w:t>
            </w:r>
          </w:p>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2.是否按照规定建立从业人员名簿、营业日志；</w:t>
            </w:r>
          </w:p>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3.是否按照规定悬挂娱乐经营许可证、警示标志、未成年人禁入或者限入标志</w:t>
            </w:r>
          </w:p>
        </w:tc>
        <w:tc>
          <w:tcPr>
            <w:tcW w:w="1283" w:type="dxa"/>
            <w:tcBorders>
              <w:bottom w:val="single" w:color="auto" w:sz="4" w:space="0"/>
            </w:tcBorders>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歌舞娱乐场所</w:t>
            </w:r>
          </w:p>
        </w:tc>
        <w:tc>
          <w:tcPr>
            <w:tcW w:w="1283" w:type="dxa"/>
            <w:vMerge w:val="restart"/>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一般检查</w:t>
            </w:r>
          </w:p>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事项</w:t>
            </w:r>
          </w:p>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p>
        </w:tc>
        <w:tc>
          <w:tcPr>
            <w:tcW w:w="1267" w:type="dxa"/>
            <w:vMerge w:val="restart"/>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书面核查、</w:t>
            </w:r>
          </w:p>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实地核查</w:t>
            </w:r>
          </w:p>
        </w:tc>
        <w:tc>
          <w:tcPr>
            <w:tcW w:w="4407" w:type="dxa"/>
            <w:tcBorders>
              <w:bottom w:val="single" w:color="auto" w:sz="4" w:space="0"/>
            </w:tcBorders>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《娱乐场所管理条例》</w:t>
            </w:r>
          </w:p>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《娱乐场所管理办法》</w:t>
            </w:r>
          </w:p>
        </w:tc>
        <w:tc>
          <w:tcPr>
            <w:tcW w:w="1224" w:type="dxa"/>
            <w:vMerge w:val="restart"/>
            <w:vAlign w:val="center"/>
          </w:tcPr>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r>
              <w:rPr>
                <w:rFonts w:hint="eastAsia" w:ascii="仿宋_GB2312" w:hAnsi="仿宋_GB2312" w:eastAsia="仿宋_GB2312" w:cs="仿宋_GB2312"/>
                <w:color w:val="000000"/>
                <w:spacing w:val="-28"/>
                <w:sz w:val="24"/>
                <w:szCs w:val="24"/>
              </w:rPr>
              <w:t>宣传部（文旅广电局）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7" w:hRule="atLeast"/>
        </w:trPr>
        <w:tc>
          <w:tcPr>
            <w:tcW w:w="702" w:type="dxa"/>
            <w:vMerge w:val="continue"/>
            <w:vAlign w:val="center"/>
          </w:tcPr>
          <w:p>
            <w:pPr>
              <w:kinsoku w:val="0"/>
              <w:overflowPunct w:val="0"/>
              <w:autoSpaceDE w:val="0"/>
              <w:autoSpaceDN w:val="0"/>
              <w:adjustRightInd w:val="0"/>
              <w:snapToGrid w:val="0"/>
              <w:spacing w:line="320" w:lineRule="exact"/>
              <w:jc w:val="center"/>
              <w:rPr>
                <w:rFonts w:ascii="仿宋_GB2312" w:hAnsi="仿宋_GB2312" w:eastAsia="仿宋_GB2312"/>
                <w:color w:val="000000"/>
                <w:spacing w:val="-28"/>
                <w:sz w:val="24"/>
                <w:szCs w:val="24"/>
              </w:rPr>
            </w:pPr>
          </w:p>
        </w:tc>
        <w:tc>
          <w:tcPr>
            <w:tcW w:w="1228" w:type="dxa"/>
            <w:vMerge w:val="continue"/>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p>
        </w:tc>
        <w:tc>
          <w:tcPr>
            <w:tcW w:w="3568" w:type="dxa"/>
            <w:tcBorders>
              <w:top w:val="single" w:color="auto" w:sz="4" w:space="0"/>
              <w:bottom w:val="single" w:color="auto" w:sz="4" w:space="0"/>
            </w:tcBorders>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1.游艺娱乐场所设置是否存在未经文化主管部门内容核查的游戏游艺设备等行为；</w:t>
            </w:r>
          </w:p>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2.是否按照规定建立从业人员名簿、营业日志；</w:t>
            </w:r>
          </w:p>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3.是否按照规定悬挂娱乐经营许可证、警示标志、未成年人禁入或者限入标志</w:t>
            </w:r>
          </w:p>
        </w:tc>
        <w:tc>
          <w:tcPr>
            <w:tcW w:w="1283" w:type="dxa"/>
            <w:tcBorders>
              <w:top w:val="single" w:color="auto" w:sz="4" w:space="0"/>
              <w:bottom w:val="single" w:color="auto" w:sz="4" w:space="0"/>
            </w:tcBorders>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游戏游艺娱乐</w:t>
            </w:r>
          </w:p>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场所</w:t>
            </w:r>
          </w:p>
        </w:tc>
        <w:tc>
          <w:tcPr>
            <w:tcW w:w="1283" w:type="dxa"/>
            <w:vMerge w:val="continue"/>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p>
        </w:tc>
        <w:tc>
          <w:tcPr>
            <w:tcW w:w="4407" w:type="dxa"/>
            <w:tcBorders>
              <w:top w:val="single" w:color="auto" w:sz="4" w:space="0"/>
              <w:bottom w:val="single" w:color="auto" w:sz="4" w:space="0"/>
            </w:tcBorders>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《娱乐场所管理条例》</w:t>
            </w:r>
          </w:p>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《娱乐场所管理办法》</w:t>
            </w:r>
          </w:p>
        </w:tc>
        <w:tc>
          <w:tcPr>
            <w:tcW w:w="1224" w:type="dxa"/>
            <w:vMerge w:val="continue"/>
            <w:vAlign w:val="center"/>
          </w:tcPr>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702" w:type="dxa"/>
            <w:vMerge w:val="continue"/>
            <w:vAlign w:val="center"/>
          </w:tcPr>
          <w:p>
            <w:pPr>
              <w:kinsoku w:val="0"/>
              <w:overflowPunct w:val="0"/>
              <w:autoSpaceDE w:val="0"/>
              <w:autoSpaceDN w:val="0"/>
              <w:adjustRightInd w:val="0"/>
              <w:snapToGrid w:val="0"/>
              <w:spacing w:line="320" w:lineRule="exact"/>
              <w:jc w:val="center"/>
              <w:rPr>
                <w:rFonts w:ascii="仿宋_GB2312" w:hAnsi="仿宋_GB2312" w:eastAsia="仿宋_GB2312"/>
                <w:color w:val="000000"/>
                <w:spacing w:val="-28"/>
                <w:sz w:val="24"/>
                <w:szCs w:val="24"/>
              </w:rPr>
            </w:pPr>
          </w:p>
        </w:tc>
        <w:tc>
          <w:tcPr>
            <w:tcW w:w="1228" w:type="dxa"/>
            <w:vMerge w:val="continue"/>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p>
        </w:tc>
        <w:tc>
          <w:tcPr>
            <w:tcW w:w="3568" w:type="dxa"/>
            <w:tcBorders>
              <w:top w:val="single" w:color="auto" w:sz="4" w:space="0"/>
              <w:bottom w:val="single" w:color="auto" w:sz="4" w:space="0"/>
            </w:tcBorders>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1.艺术品市场的违法违规行为；</w:t>
            </w:r>
          </w:p>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2.登记事项检查。</w:t>
            </w:r>
          </w:p>
        </w:tc>
        <w:tc>
          <w:tcPr>
            <w:tcW w:w="1283" w:type="dxa"/>
            <w:tcBorders>
              <w:top w:val="single" w:color="auto" w:sz="4" w:space="0"/>
              <w:bottom w:val="single" w:color="auto" w:sz="4" w:space="0"/>
            </w:tcBorders>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艺术品经营单位</w:t>
            </w:r>
          </w:p>
        </w:tc>
        <w:tc>
          <w:tcPr>
            <w:tcW w:w="1283" w:type="dxa"/>
            <w:vMerge w:val="continue"/>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p>
        </w:tc>
        <w:tc>
          <w:tcPr>
            <w:tcW w:w="4407" w:type="dxa"/>
            <w:tcBorders>
              <w:top w:val="single" w:color="auto" w:sz="4" w:space="0"/>
              <w:bottom w:val="single" w:color="auto" w:sz="4" w:space="0"/>
            </w:tcBorders>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《艺术品经营管理办法》</w:t>
            </w:r>
          </w:p>
        </w:tc>
        <w:tc>
          <w:tcPr>
            <w:tcW w:w="1224" w:type="dxa"/>
            <w:vMerge w:val="continue"/>
            <w:vAlign w:val="center"/>
          </w:tcPr>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2" w:type="dxa"/>
            <w:vMerge w:val="continue"/>
            <w:vAlign w:val="center"/>
          </w:tcPr>
          <w:p>
            <w:pPr>
              <w:kinsoku w:val="0"/>
              <w:overflowPunct w:val="0"/>
              <w:autoSpaceDE w:val="0"/>
              <w:autoSpaceDN w:val="0"/>
              <w:adjustRightInd w:val="0"/>
              <w:snapToGrid w:val="0"/>
              <w:spacing w:line="320" w:lineRule="exact"/>
              <w:jc w:val="center"/>
              <w:rPr>
                <w:rFonts w:ascii="仿宋_GB2312" w:hAnsi="仿宋_GB2312" w:eastAsia="仿宋_GB2312"/>
                <w:color w:val="000000"/>
                <w:spacing w:val="-28"/>
                <w:sz w:val="24"/>
                <w:szCs w:val="24"/>
              </w:rPr>
            </w:pPr>
          </w:p>
        </w:tc>
        <w:tc>
          <w:tcPr>
            <w:tcW w:w="1228" w:type="dxa"/>
            <w:vMerge w:val="continue"/>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p>
        </w:tc>
        <w:tc>
          <w:tcPr>
            <w:tcW w:w="3568" w:type="dxa"/>
            <w:tcBorders>
              <w:top w:val="single" w:color="auto" w:sz="4" w:space="0"/>
              <w:bottom w:val="single" w:color="auto" w:sz="4" w:space="0"/>
            </w:tcBorders>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1.互联网上网服务营业场所经营单位是否存在擅自从事互联网上网服务经营活动的行为；</w:t>
            </w:r>
          </w:p>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2.是否存在未按规定核对、登记上网消费者的有效身份证件或者记录有关上网信息等行为；</w:t>
            </w:r>
          </w:p>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3.是否存在违规接纳未成年人进入营业场所的行为；</w:t>
            </w:r>
          </w:p>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lang w:eastAsia="zh-CN"/>
              </w:rPr>
            </w:pPr>
            <w:r>
              <w:rPr>
                <w:rFonts w:hint="eastAsia" w:ascii="仿宋_GB2312" w:eastAsia="仿宋_GB2312" w:cs="仿宋_GB2312"/>
                <w:color w:val="000000"/>
                <w:spacing w:val="-20"/>
                <w:sz w:val="24"/>
                <w:szCs w:val="24"/>
              </w:rPr>
              <w:t>4.是否存存在擅自停止经营管理技术措施的行为</w:t>
            </w:r>
            <w:r>
              <w:rPr>
                <w:rFonts w:hint="eastAsia" w:ascii="仿宋_GB2312" w:eastAsia="仿宋_GB2312" w:cs="仿宋_GB2312"/>
                <w:color w:val="000000"/>
                <w:spacing w:val="-20"/>
                <w:sz w:val="24"/>
                <w:szCs w:val="24"/>
                <w:lang w:eastAsia="zh-CN"/>
              </w:rPr>
              <w:t>。</w:t>
            </w:r>
          </w:p>
        </w:tc>
        <w:tc>
          <w:tcPr>
            <w:tcW w:w="1283" w:type="dxa"/>
            <w:tcBorders>
              <w:top w:val="single" w:color="auto" w:sz="4" w:space="0"/>
              <w:bottom w:val="single" w:color="auto" w:sz="4" w:space="0"/>
            </w:tcBorders>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互联网上网服务营业场所</w:t>
            </w:r>
          </w:p>
        </w:tc>
        <w:tc>
          <w:tcPr>
            <w:tcW w:w="1283" w:type="dxa"/>
            <w:vMerge w:val="continue"/>
            <w:vAlign w:val="center"/>
          </w:tcPr>
          <w:p>
            <w:pPr>
              <w:spacing w:line="300" w:lineRule="exact"/>
              <w:jc w:val="center"/>
              <w:rPr>
                <w:rFonts w:ascii="仿宋_GB2312" w:eastAsia="仿宋_GB2312"/>
                <w:color w:val="000000"/>
                <w:spacing w:val="-32"/>
                <w:sz w:val="24"/>
                <w:szCs w:val="24"/>
              </w:rPr>
            </w:pPr>
          </w:p>
        </w:tc>
        <w:tc>
          <w:tcPr>
            <w:tcW w:w="1267" w:type="dxa"/>
            <w:vMerge w:val="continue"/>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p>
        </w:tc>
        <w:tc>
          <w:tcPr>
            <w:tcW w:w="4407" w:type="dxa"/>
            <w:tcBorders>
              <w:top w:val="single" w:color="auto" w:sz="4" w:space="0"/>
              <w:bottom w:val="single" w:color="auto" w:sz="4" w:space="0"/>
            </w:tcBorders>
            <w:vAlign w:val="center"/>
          </w:tcPr>
          <w:p>
            <w:pPr>
              <w:kinsoku w:val="0"/>
              <w:overflowPunct w:val="0"/>
              <w:autoSpaceDE w:val="0"/>
              <w:autoSpaceDN w:val="0"/>
              <w:adjustRightInd w:val="0"/>
              <w:snapToGrid w:val="0"/>
              <w:spacing w:line="300" w:lineRule="exact"/>
              <w:rPr>
                <w:rFonts w:hint="eastAsia" w:ascii="仿宋_GB2312" w:eastAsia="仿宋_GB2312" w:cs="仿宋_GB2312"/>
                <w:color w:val="000000"/>
                <w:spacing w:val="-20"/>
                <w:sz w:val="24"/>
                <w:szCs w:val="24"/>
              </w:rPr>
            </w:pPr>
            <w:r>
              <w:rPr>
                <w:rFonts w:hint="eastAsia" w:ascii="仿宋_GB2312" w:eastAsia="仿宋_GB2312" w:cs="仿宋_GB2312"/>
                <w:color w:val="000000"/>
                <w:spacing w:val="-20"/>
                <w:sz w:val="24"/>
                <w:szCs w:val="24"/>
              </w:rPr>
              <w:t>《互联网上网服务营业场所管理条例》</w:t>
            </w:r>
          </w:p>
        </w:tc>
        <w:tc>
          <w:tcPr>
            <w:tcW w:w="1224" w:type="dxa"/>
            <w:vMerge w:val="continue"/>
            <w:vAlign w:val="center"/>
          </w:tcPr>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tcBorders>
              <w:bottom w:val="single" w:color="auto" w:sz="4" w:space="0"/>
            </w:tcBorders>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02" w:type="dxa"/>
            <w:vMerge w:val="continue"/>
            <w:vAlign w:val="center"/>
          </w:tcPr>
          <w:p>
            <w:pPr>
              <w:jc w:val="center"/>
              <w:rPr>
                <w:rFonts w:ascii="宋体" w:cs="宋体"/>
                <w:b/>
                <w:bCs/>
                <w:color w:val="000000"/>
                <w:sz w:val="24"/>
                <w:szCs w:val="24"/>
              </w:rPr>
            </w:pPr>
          </w:p>
        </w:tc>
        <w:tc>
          <w:tcPr>
            <w:tcW w:w="1228" w:type="dxa"/>
            <w:tcBorders>
              <w:top w:val="single" w:color="auto" w:sz="4" w:space="0"/>
              <w:right w:val="single" w:color="auto" w:sz="4" w:space="0"/>
            </w:tcBorders>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tcBorders>
              <w:top w:val="single" w:color="auto" w:sz="4" w:space="0"/>
              <w:left w:val="single" w:color="auto" w:sz="4" w:space="0"/>
            </w:tcBorders>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cs="宋体"/>
                <w:b/>
                <w:bCs/>
                <w:color w:val="000000"/>
                <w:sz w:val="24"/>
                <w:szCs w:val="24"/>
              </w:rPr>
            </w:pPr>
          </w:p>
        </w:tc>
        <w:tc>
          <w:tcPr>
            <w:tcW w:w="1283" w:type="dxa"/>
            <w:vMerge w:val="continue"/>
            <w:vAlign w:val="center"/>
          </w:tcPr>
          <w:p>
            <w:pPr>
              <w:jc w:val="center"/>
              <w:rPr>
                <w:rFonts w:ascii="宋体" w:cs="宋体"/>
                <w:b/>
                <w:bCs/>
                <w:color w:val="000000"/>
                <w:sz w:val="24"/>
                <w:szCs w:val="24"/>
              </w:rPr>
            </w:pPr>
          </w:p>
        </w:tc>
        <w:tc>
          <w:tcPr>
            <w:tcW w:w="1267" w:type="dxa"/>
            <w:vMerge w:val="continue"/>
            <w:vAlign w:val="center"/>
          </w:tcPr>
          <w:p>
            <w:pPr>
              <w:jc w:val="center"/>
              <w:rPr>
                <w:rFonts w:ascii="宋体" w:cs="宋体"/>
                <w:b/>
                <w:bCs/>
                <w:color w:val="000000"/>
                <w:sz w:val="24"/>
                <w:szCs w:val="24"/>
              </w:rPr>
            </w:pPr>
          </w:p>
        </w:tc>
        <w:tc>
          <w:tcPr>
            <w:tcW w:w="4407" w:type="dxa"/>
            <w:vMerge w:val="continue"/>
            <w:vAlign w:val="center"/>
          </w:tcPr>
          <w:p>
            <w:pPr>
              <w:jc w:val="center"/>
              <w:rPr>
                <w:rFonts w:ascii="宋体" w:cs="宋体"/>
                <w:b/>
                <w:bCs/>
                <w:color w:val="000000"/>
                <w:sz w:val="24"/>
                <w:szCs w:val="24"/>
              </w:rPr>
            </w:pPr>
          </w:p>
        </w:tc>
        <w:tc>
          <w:tcPr>
            <w:tcW w:w="1224" w:type="dxa"/>
            <w:vMerge w:val="continue"/>
            <w:vAlign w:val="center"/>
          </w:tcPr>
          <w:p>
            <w:pPr>
              <w:jc w:val="center"/>
              <w:rPr>
                <w:rFonts w:ascii="宋体" w:cs="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0" w:hRule="atLeast"/>
        </w:trPr>
        <w:tc>
          <w:tcPr>
            <w:tcW w:w="702" w:type="dxa"/>
            <w:vMerge w:val="restart"/>
            <w:vAlign w:val="center"/>
          </w:tcPr>
          <w:p>
            <w:pPr>
              <w:kinsoku w:val="0"/>
              <w:overflowPunct w:val="0"/>
              <w:autoSpaceDE w:val="0"/>
              <w:autoSpaceDN w:val="0"/>
              <w:adjustRightInd w:val="0"/>
              <w:snapToGrid w:val="0"/>
              <w:spacing w:line="320" w:lineRule="exact"/>
              <w:jc w:val="center"/>
              <w:rPr>
                <w:rFonts w:hint="default" w:ascii="仿宋_GB2312" w:hAnsi="仿宋_GB2312" w:eastAsia="仿宋_GB2312"/>
                <w:color w:val="000000"/>
                <w:spacing w:val="-28"/>
                <w:sz w:val="24"/>
                <w:szCs w:val="24"/>
                <w:lang w:val="en-US" w:eastAsia="zh-CN"/>
              </w:rPr>
            </w:pPr>
            <w:r>
              <w:rPr>
                <w:rFonts w:hint="eastAsia" w:ascii="仿宋_GB2312" w:hAnsi="仿宋_GB2312" w:eastAsia="仿宋_GB2312"/>
                <w:color w:val="000000"/>
                <w:spacing w:val="-28"/>
                <w:sz w:val="24"/>
                <w:szCs w:val="24"/>
                <w:lang w:val="en-US" w:eastAsia="zh-CN"/>
              </w:rPr>
              <w:t>22</w:t>
            </w:r>
          </w:p>
        </w:tc>
        <w:tc>
          <w:tcPr>
            <w:tcW w:w="1228" w:type="dxa"/>
            <w:vMerge w:val="restart"/>
            <w:vAlign w:val="center"/>
          </w:tcPr>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r>
              <w:rPr>
                <w:rFonts w:hint="eastAsia" w:ascii="仿宋_GB2312" w:eastAsia="仿宋_GB2312" w:cs="仿宋_GB2312"/>
                <w:color w:val="000000"/>
                <w:spacing w:val="-32"/>
                <w:sz w:val="24"/>
                <w:szCs w:val="24"/>
              </w:rPr>
              <w:t>文化市场</w:t>
            </w:r>
          </w:p>
        </w:tc>
        <w:tc>
          <w:tcPr>
            <w:tcW w:w="3568" w:type="dxa"/>
            <w:tcBorders>
              <w:bottom w:val="single" w:color="auto" w:sz="4" w:space="0"/>
            </w:tcBorders>
            <w:vAlign w:val="center"/>
          </w:tcPr>
          <w:p>
            <w:pPr>
              <w:kinsoku w:val="0"/>
              <w:overflowPunct w:val="0"/>
              <w:autoSpaceDE w:val="0"/>
              <w:autoSpaceDN w:val="0"/>
              <w:adjustRightInd w:val="0"/>
              <w:snapToGrid w:val="0"/>
              <w:spacing w:line="300" w:lineRule="exact"/>
              <w:rPr>
                <w:rFonts w:ascii="仿宋_GB2312" w:eastAsia="仿宋_GB2312"/>
                <w:color w:val="000000"/>
                <w:spacing w:val="-20"/>
                <w:kern w:val="0"/>
                <w:sz w:val="24"/>
                <w:szCs w:val="24"/>
              </w:rPr>
            </w:pPr>
            <w:r>
              <w:rPr>
                <w:rFonts w:ascii="仿宋_GB2312" w:eastAsia="仿宋_GB2312" w:cs="仿宋_GB2312"/>
                <w:color w:val="000000"/>
                <w:spacing w:val="-20"/>
                <w:kern w:val="0"/>
                <w:sz w:val="24"/>
                <w:szCs w:val="24"/>
              </w:rPr>
              <w:t>1.</w:t>
            </w:r>
            <w:r>
              <w:rPr>
                <w:rFonts w:hint="eastAsia" w:ascii="仿宋_GB2312" w:eastAsia="仿宋_GB2312" w:cs="仿宋_GB2312"/>
                <w:color w:val="000000"/>
                <w:spacing w:val="-20"/>
                <w:kern w:val="0"/>
                <w:sz w:val="24"/>
                <w:szCs w:val="24"/>
              </w:rPr>
              <w:t>是否存在擅自从事营业性演出经营活动等行为；</w:t>
            </w:r>
          </w:p>
          <w:p>
            <w:pPr>
              <w:kinsoku w:val="0"/>
              <w:overflowPunct w:val="0"/>
              <w:autoSpaceDE w:val="0"/>
              <w:autoSpaceDN w:val="0"/>
              <w:adjustRightInd w:val="0"/>
              <w:snapToGrid w:val="0"/>
              <w:spacing w:line="300" w:lineRule="exact"/>
              <w:rPr>
                <w:rFonts w:ascii="仿宋_GB2312" w:eastAsia="仿宋_GB2312"/>
                <w:color w:val="000000"/>
                <w:spacing w:val="-20"/>
                <w:kern w:val="0"/>
                <w:sz w:val="24"/>
                <w:szCs w:val="24"/>
              </w:rPr>
            </w:pPr>
            <w:r>
              <w:rPr>
                <w:rFonts w:ascii="仿宋_GB2312" w:eastAsia="仿宋_GB2312" w:cs="仿宋_GB2312"/>
                <w:color w:val="000000"/>
                <w:spacing w:val="-20"/>
                <w:kern w:val="0"/>
                <w:sz w:val="24"/>
                <w:szCs w:val="24"/>
              </w:rPr>
              <w:t>2.</w:t>
            </w:r>
            <w:r>
              <w:rPr>
                <w:rFonts w:hint="eastAsia" w:ascii="仿宋_GB2312" w:eastAsia="仿宋_GB2312" w:cs="仿宋_GB2312"/>
                <w:color w:val="000000"/>
                <w:spacing w:val="-20"/>
                <w:kern w:val="0"/>
                <w:sz w:val="24"/>
                <w:szCs w:val="24"/>
              </w:rPr>
              <w:t>是否未经批准举办营业性演出；</w:t>
            </w:r>
          </w:p>
          <w:p>
            <w:pPr>
              <w:kinsoku w:val="0"/>
              <w:overflowPunct w:val="0"/>
              <w:autoSpaceDE w:val="0"/>
              <w:autoSpaceDN w:val="0"/>
              <w:adjustRightInd w:val="0"/>
              <w:snapToGrid w:val="0"/>
              <w:spacing w:line="300" w:lineRule="exact"/>
              <w:rPr>
                <w:rFonts w:ascii="仿宋_GB2312" w:eastAsia="仿宋_GB2312"/>
                <w:color w:val="000000"/>
                <w:spacing w:val="-20"/>
                <w:kern w:val="0"/>
                <w:sz w:val="24"/>
                <w:szCs w:val="24"/>
              </w:rPr>
            </w:pPr>
            <w:r>
              <w:rPr>
                <w:rFonts w:ascii="仿宋_GB2312" w:eastAsia="仿宋_GB2312" w:cs="仿宋_GB2312"/>
                <w:color w:val="000000"/>
                <w:spacing w:val="-20"/>
                <w:kern w:val="0"/>
                <w:sz w:val="24"/>
                <w:szCs w:val="24"/>
              </w:rPr>
              <w:t>3.</w:t>
            </w:r>
            <w:r>
              <w:rPr>
                <w:rFonts w:hint="eastAsia" w:ascii="仿宋_GB2312" w:eastAsia="仿宋_GB2312" w:cs="仿宋_GB2312"/>
                <w:color w:val="000000"/>
                <w:spacing w:val="-20"/>
                <w:kern w:val="0"/>
                <w:sz w:val="24"/>
                <w:szCs w:val="24"/>
              </w:rPr>
              <w:t>营业性演出是否含有法律法规禁止内容；</w:t>
            </w:r>
          </w:p>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r>
              <w:rPr>
                <w:rFonts w:ascii="仿宋_GB2312" w:eastAsia="仿宋_GB2312" w:cs="仿宋_GB2312"/>
                <w:color w:val="000000"/>
                <w:spacing w:val="-20"/>
                <w:kern w:val="0"/>
                <w:sz w:val="24"/>
                <w:szCs w:val="24"/>
              </w:rPr>
              <w:t>4.</w:t>
            </w:r>
            <w:r>
              <w:rPr>
                <w:rFonts w:hint="eastAsia" w:ascii="仿宋_GB2312" w:eastAsia="仿宋_GB2312" w:cs="仿宋_GB2312"/>
                <w:color w:val="000000"/>
                <w:spacing w:val="-20"/>
                <w:kern w:val="0"/>
                <w:sz w:val="24"/>
                <w:szCs w:val="24"/>
              </w:rPr>
              <w:t>是否未经批准，擅自出售演出门票</w:t>
            </w:r>
          </w:p>
        </w:tc>
        <w:tc>
          <w:tcPr>
            <w:tcW w:w="1283" w:type="dxa"/>
            <w:tcBorders>
              <w:top w:val="single" w:color="auto" w:sz="4" w:space="0"/>
              <w:bottom w:val="single" w:color="auto" w:sz="4" w:space="0"/>
            </w:tcBorders>
            <w:vAlign w:val="center"/>
          </w:tcPr>
          <w:p>
            <w:pPr>
              <w:kinsoku w:val="0"/>
              <w:overflowPunct w:val="0"/>
              <w:autoSpaceDE w:val="0"/>
              <w:autoSpaceDN w:val="0"/>
              <w:adjustRightInd w:val="0"/>
              <w:snapToGrid w:val="0"/>
              <w:spacing w:line="360" w:lineRule="exact"/>
              <w:jc w:val="center"/>
              <w:rPr>
                <w:rFonts w:ascii="仿宋_GB2312" w:eastAsia="仿宋_GB2312"/>
                <w:color w:val="000000"/>
                <w:spacing w:val="-20"/>
                <w:kern w:val="0"/>
                <w:sz w:val="24"/>
                <w:szCs w:val="24"/>
              </w:rPr>
            </w:pPr>
            <w:r>
              <w:rPr>
                <w:rFonts w:hint="eastAsia" w:ascii="仿宋_GB2312" w:eastAsia="仿宋_GB2312" w:cs="仿宋_GB2312"/>
                <w:color w:val="000000"/>
                <w:spacing w:val="-20"/>
                <w:kern w:val="0"/>
                <w:sz w:val="24"/>
                <w:szCs w:val="24"/>
              </w:rPr>
              <w:t>演出经纪机构</w:t>
            </w:r>
          </w:p>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r>
              <w:rPr>
                <w:rFonts w:hint="eastAsia" w:ascii="仿宋_GB2312" w:eastAsia="仿宋_GB2312" w:cs="仿宋_GB2312"/>
                <w:color w:val="000000"/>
                <w:spacing w:val="-20"/>
                <w:kern w:val="0"/>
                <w:sz w:val="24"/>
                <w:szCs w:val="24"/>
              </w:rPr>
              <w:t>文艺表演团体</w:t>
            </w:r>
          </w:p>
        </w:tc>
        <w:tc>
          <w:tcPr>
            <w:tcW w:w="1283" w:type="dxa"/>
            <w:vMerge w:val="restart"/>
            <w:vAlign w:val="center"/>
          </w:tcPr>
          <w:p>
            <w:pPr>
              <w:kinsoku w:val="0"/>
              <w:overflowPunct w:val="0"/>
              <w:autoSpaceDE w:val="0"/>
              <w:autoSpaceDN w:val="0"/>
              <w:adjustRightInd w:val="0"/>
              <w:snapToGrid w:val="0"/>
              <w:spacing w:line="320" w:lineRule="exact"/>
              <w:jc w:val="center"/>
              <w:rPr>
                <w:rFonts w:ascii="仿宋_GB2312" w:hAnsi="仿宋_GB2312" w:eastAsia="仿宋_GB2312"/>
                <w:color w:val="000000"/>
                <w:spacing w:val="-28"/>
                <w:sz w:val="24"/>
                <w:szCs w:val="24"/>
              </w:rPr>
            </w:pPr>
            <w:r>
              <w:rPr>
                <w:rFonts w:hint="eastAsia" w:ascii="仿宋_GB2312" w:hAnsi="仿宋_GB2312" w:eastAsia="仿宋_GB2312" w:cs="仿宋_GB2312"/>
                <w:color w:val="000000"/>
                <w:spacing w:val="-28"/>
                <w:sz w:val="24"/>
                <w:szCs w:val="24"/>
              </w:rPr>
              <w:t>一般</w:t>
            </w:r>
          </w:p>
          <w:p>
            <w:pPr>
              <w:kinsoku w:val="0"/>
              <w:overflowPunct w:val="0"/>
              <w:autoSpaceDE w:val="0"/>
              <w:autoSpaceDN w:val="0"/>
              <w:adjustRightInd w:val="0"/>
              <w:snapToGrid w:val="0"/>
              <w:spacing w:line="320" w:lineRule="exact"/>
              <w:jc w:val="center"/>
              <w:rPr>
                <w:rFonts w:ascii="仿宋_GB2312" w:hAnsi="仿宋_GB2312" w:eastAsia="仿宋_GB2312"/>
                <w:color w:val="000000"/>
                <w:spacing w:val="-28"/>
                <w:sz w:val="24"/>
                <w:szCs w:val="24"/>
              </w:rPr>
            </w:pPr>
            <w:r>
              <w:rPr>
                <w:rFonts w:hint="eastAsia" w:ascii="仿宋_GB2312" w:hAnsi="仿宋_GB2312" w:eastAsia="仿宋_GB2312" w:cs="仿宋_GB2312"/>
                <w:color w:val="000000"/>
                <w:spacing w:val="-28"/>
                <w:sz w:val="24"/>
                <w:szCs w:val="24"/>
              </w:rPr>
              <w:t>检查事项</w:t>
            </w:r>
          </w:p>
        </w:tc>
        <w:tc>
          <w:tcPr>
            <w:tcW w:w="1267"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书面核查、</w:t>
            </w:r>
          </w:p>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r>
              <w:rPr>
                <w:rFonts w:hint="eastAsia" w:ascii="仿宋_GB2312" w:hAnsi="仿宋" w:eastAsia="仿宋_GB2312" w:cs="仿宋_GB2312"/>
                <w:color w:val="000000"/>
                <w:spacing w:val="-20"/>
                <w:kern w:val="0"/>
                <w:sz w:val="24"/>
                <w:szCs w:val="24"/>
              </w:rPr>
              <w:t>实地核查</w:t>
            </w:r>
          </w:p>
        </w:tc>
        <w:tc>
          <w:tcPr>
            <w:tcW w:w="4407" w:type="dxa"/>
            <w:tcBorders>
              <w:bottom w:val="single" w:color="auto" w:sz="4" w:space="0"/>
            </w:tcBorders>
            <w:vAlign w:val="center"/>
          </w:tcPr>
          <w:p>
            <w:pPr>
              <w:kinsoku w:val="0"/>
              <w:overflowPunct w:val="0"/>
              <w:autoSpaceDE w:val="0"/>
              <w:autoSpaceDN w:val="0"/>
              <w:adjustRightInd w:val="0"/>
              <w:snapToGrid w:val="0"/>
              <w:spacing w:line="280" w:lineRule="exact"/>
              <w:ind w:left="31680" w:hanging="100" w:hangingChars="50"/>
              <w:jc w:val="left"/>
              <w:rPr>
                <w:rFonts w:ascii="仿宋_GB2312" w:eastAsia="仿宋_GB2312" w:cs="仿宋_GB2312"/>
                <w:color w:val="000000"/>
                <w:spacing w:val="-20"/>
                <w:kern w:val="0"/>
                <w:sz w:val="24"/>
                <w:szCs w:val="24"/>
              </w:rPr>
            </w:pPr>
            <w:r>
              <w:rPr>
                <w:rFonts w:hint="eastAsia" w:ascii="仿宋_GB2312" w:eastAsia="仿宋_GB2312" w:cs="仿宋_GB2312"/>
                <w:color w:val="000000"/>
                <w:spacing w:val="-20"/>
                <w:kern w:val="0"/>
                <w:sz w:val="24"/>
                <w:szCs w:val="24"/>
              </w:rPr>
              <w:t>《营业性演出管理条例》</w:t>
            </w:r>
            <w:r>
              <w:rPr>
                <w:rFonts w:ascii="仿宋_GB2312" w:eastAsia="仿宋_GB2312" w:cs="仿宋_GB2312"/>
                <w:color w:val="000000"/>
                <w:spacing w:val="-20"/>
                <w:kern w:val="0"/>
                <w:sz w:val="24"/>
                <w:szCs w:val="24"/>
              </w:rPr>
              <w:t xml:space="preserve"> </w:t>
            </w:r>
            <w:r>
              <w:rPr>
                <w:rFonts w:hint="eastAsia" w:ascii="仿宋_GB2312" w:eastAsia="仿宋_GB2312" w:cs="仿宋_GB2312"/>
                <w:color w:val="000000"/>
                <w:spacing w:val="-20"/>
                <w:kern w:val="0"/>
                <w:sz w:val="24"/>
                <w:szCs w:val="24"/>
              </w:rPr>
              <w:t>《营业性演出管理条例实施细则》</w:t>
            </w:r>
            <w:r>
              <w:rPr>
                <w:rFonts w:ascii="仿宋_GB2312" w:eastAsia="仿宋_GB2312" w:cs="仿宋_GB2312"/>
                <w:color w:val="000000"/>
                <w:spacing w:val="-20"/>
                <w:kern w:val="0"/>
                <w:sz w:val="24"/>
                <w:szCs w:val="24"/>
              </w:rPr>
              <w:t xml:space="preserve"> </w:t>
            </w:r>
          </w:p>
        </w:tc>
        <w:tc>
          <w:tcPr>
            <w:tcW w:w="1224" w:type="dxa"/>
            <w:vMerge w:val="restart"/>
            <w:vAlign w:val="center"/>
          </w:tcPr>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r>
              <w:rPr>
                <w:rFonts w:hint="eastAsia" w:ascii="仿宋_GB2312" w:hAnsi="仿宋_GB2312" w:eastAsia="仿宋_GB2312" w:cs="仿宋_GB2312"/>
                <w:color w:val="000000"/>
                <w:spacing w:val="-28"/>
                <w:sz w:val="24"/>
                <w:szCs w:val="24"/>
              </w:rPr>
              <w:t>宣传部（文旅广电局）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702" w:type="dxa"/>
            <w:vMerge w:val="continue"/>
            <w:vAlign w:val="center"/>
          </w:tcPr>
          <w:p>
            <w:pPr>
              <w:kinsoku w:val="0"/>
              <w:overflowPunct w:val="0"/>
              <w:autoSpaceDE w:val="0"/>
              <w:autoSpaceDN w:val="0"/>
              <w:adjustRightInd w:val="0"/>
              <w:snapToGrid w:val="0"/>
              <w:spacing w:line="320" w:lineRule="exact"/>
              <w:jc w:val="center"/>
              <w:rPr>
                <w:rFonts w:ascii="仿宋_GB2312" w:hAnsi="仿宋_GB2312" w:eastAsia="仿宋_GB2312"/>
                <w:color w:val="000000"/>
                <w:spacing w:val="-28"/>
                <w:sz w:val="24"/>
                <w:szCs w:val="24"/>
              </w:rPr>
            </w:pPr>
          </w:p>
        </w:tc>
        <w:tc>
          <w:tcPr>
            <w:tcW w:w="1228" w:type="dxa"/>
            <w:vMerge w:val="continue"/>
            <w:vAlign w:val="center"/>
          </w:tcPr>
          <w:p>
            <w:pPr>
              <w:kinsoku w:val="0"/>
              <w:overflowPunct w:val="0"/>
              <w:autoSpaceDE w:val="0"/>
              <w:autoSpaceDN w:val="0"/>
              <w:adjustRightInd w:val="0"/>
              <w:snapToGrid w:val="0"/>
              <w:spacing w:line="320" w:lineRule="exact"/>
              <w:rPr>
                <w:rFonts w:ascii="仿宋_GB2312" w:eastAsia="仿宋_GB2312"/>
                <w:color w:val="000000"/>
                <w:spacing w:val="-32"/>
                <w:sz w:val="24"/>
                <w:szCs w:val="24"/>
              </w:rPr>
            </w:pPr>
          </w:p>
        </w:tc>
        <w:tc>
          <w:tcPr>
            <w:tcW w:w="3568" w:type="dxa"/>
            <w:tcBorders>
              <w:top w:val="single" w:color="auto" w:sz="4" w:space="0"/>
            </w:tcBorders>
            <w:vAlign w:val="center"/>
          </w:tcPr>
          <w:p>
            <w:pPr>
              <w:kinsoku w:val="0"/>
              <w:overflowPunct w:val="0"/>
              <w:autoSpaceDE w:val="0"/>
              <w:autoSpaceDN w:val="0"/>
              <w:adjustRightInd w:val="0"/>
              <w:snapToGrid w:val="0"/>
              <w:spacing w:line="300" w:lineRule="exact"/>
              <w:rPr>
                <w:rFonts w:ascii="仿宋_GB2312" w:eastAsia="仿宋_GB2312"/>
                <w:color w:val="000000"/>
                <w:spacing w:val="-20"/>
                <w:kern w:val="0"/>
                <w:sz w:val="24"/>
                <w:szCs w:val="24"/>
              </w:rPr>
            </w:pPr>
            <w:r>
              <w:rPr>
                <w:rFonts w:ascii="仿宋_GB2312" w:eastAsia="仿宋_GB2312" w:cs="仿宋_GB2312"/>
                <w:color w:val="000000"/>
                <w:spacing w:val="-20"/>
                <w:kern w:val="0"/>
                <w:sz w:val="24"/>
                <w:szCs w:val="24"/>
              </w:rPr>
              <w:t>1.</w:t>
            </w:r>
            <w:r>
              <w:rPr>
                <w:rFonts w:hint="eastAsia" w:ascii="仿宋_GB2312" w:eastAsia="仿宋_GB2312" w:cs="仿宋_GB2312"/>
                <w:color w:val="000000"/>
                <w:spacing w:val="-20"/>
                <w:kern w:val="0"/>
                <w:sz w:val="24"/>
                <w:szCs w:val="24"/>
              </w:rPr>
              <w:t>演出场所经营单位为未经批准的营业性演出提供场地；</w:t>
            </w:r>
          </w:p>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r>
              <w:rPr>
                <w:rFonts w:ascii="仿宋_GB2312" w:eastAsia="仿宋_GB2312" w:cs="仿宋_GB2312"/>
                <w:color w:val="000000"/>
                <w:spacing w:val="-20"/>
                <w:kern w:val="0"/>
                <w:sz w:val="24"/>
                <w:szCs w:val="24"/>
              </w:rPr>
              <w:t>2.</w:t>
            </w:r>
            <w:r>
              <w:rPr>
                <w:rFonts w:hint="eastAsia" w:ascii="仿宋_GB2312" w:eastAsia="仿宋_GB2312" w:cs="仿宋_GB2312"/>
                <w:color w:val="000000"/>
                <w:spacing w:val="-20"/>
                <w:kern w:val="0"/>
                <w:sz w:val="24"/>
                <w:szCs w:val="24"/>
              </w:rPr>
              <w:t>非演出场所经营单位擅自举办演出的行政处罚；</w:t>
            </w:r>
          </w:p>
        </w:tc>
        <w:tc>
          <w:tcPr>
            <w:tcW w:w="1283" w:type="dxa"/>
            <w:tcBorders>
              <w:top w:val="single" w:color="auto" w:sz="4" w:space="0"/>
            </w:tcBorders>
            <w:vAlign w:val="center"/>
          </w:tcPr>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r>
              <w:rPr>
                <w:rFonts w:hint="eastAsia" w:ascii="仿宋_GB2312" w:eastAsia="仿宋_GB2312" w:cs="仿宋_GB2312"/>
                <w:color w:val="000000"/>
                <w:spacing w:val="-20"/>
                <w:kern w:val="0"/>
                <w:sz w:val="24"/>
                <w:szCs w:val="24"/>
              </w:rPr>
              <w:t>营业性演出场所经营单位</w:t>
            </w:r>
          </w:p>
        </w:tc>
        <w:tc>
          <w:tcPr>
            <w:tcW w:w="1283" w:type="dxa"/>
            <w:vMerge w:val="continue"/>
            <w:vAlign w:val="center"/>
          </w:tcPr>
          <w:p>
            <w:pPr>
              <w:kinsoku w:val="0"/>
              <w:overflowPunct w:val="0"/>
              <w:autoSpaceDE w:val="0"/>
              <w:autoSpaceDN w:val="0"/>
              <w:adjustRightInd w:val="0"/>
              <w:snapToGrid w:val="0"/>
              <w:spacing w:line="320" w:lineRule="exact"/>
              <w:jc w:val="center"/>
              <w:rPr>
                <w:rFonts w:ascii="仿宋_GB2312" w:hAnsi="仿宋_GB2312" w:eastAsia="仿宋_GB2312"/>
                <w:color w:val="000000"/>
                <w:spacing w:val="-28"/>
                <w:sz w:val="24"/>
                <w:szCs w:val="24"/>
              </w:rPr>
            </w:pPr>
          </w:p>
        </w:tc>
        <w:tc>
          <w:tcPr>
            <w:tcW w:w="1267" w:type="dxa"/>
            <w:vMerge w:val="continue"/>
            <w:tcBorders>
              <w:bottom w:val="single" w:color="auto" w:sz="4" w:space="0"/>
            </w:tcBorders>
            <w:vAlign w:val="center"/>
          </w:tcPr>
          <w:p>
            <w:pPr>
              <w:kinsoku w:val="0"/>
              <w:overflowPunct w:val="0"/>
              <w:autoSpaceDE w:val="0"/>
              <w:autoSpaceDN w:val="0"/>
              <w:adjustRightInd w:val="0"/>
              <w:snapToGrid w:val="0"/>
              <w:spacing w:line="320" w:lineRule="exact"/>
              <w:rPr>
                <w:rFonts w:ascii="仿宋_GB2312" w:eastAsia="仿宋_GB2312"/>
                <w:color w:val="000000"/>
                <w:spacing w:val="-20"/>
                <w:sz w:val="24"/>
                <w:szCs w:val="24"/>
              </w:rPr>
            </w:pPr>
          </w:p>
        </w:tc>
        <w:tc>
          <w:tcPr>
            <w:tcW w:w="4407" w:type="dxa"/>
            <w:tcBorders>
              <w:top w:val="single" w:color="auto" w:sz="4" w:space="0"/>
            </w:tcBorders>
            <w:vAlign w:val="center"/>
          </w:tcPr>
          <w:p>
            <w:pPr>
              <w:kinsoku w:val="0"/>
              <w:overflowPunct w:val="0"/>
              <w:autoSpaceDE w:val="0"/>
              <w:autoSpaceDN w:val="0"/>
              <w:adjustRightInd w:val="0"/>
              <w:snapToGrid w:val="0"/>
              <w:spacing w:line="280" w:lineRule="exact"/>
              <w:ind w:left="31680" w:hanging="100" w:hangingChars="50"/>
              <w:jc w:val="left"/>
              <w:rPr>
                <w:rFonts w:ascii="仿宋_GB2312" w:eastAsia="仿宋_GB2312" w:cs="仿宋_GB2312"/>
                <w:color w:val="000000"/>
                <w:spacing w:val="-20"/>
                <w:kern w:val="0"/>
                <w:sz w:val="24"/>
                <w:szCs w:val="24"/>
              </w:rPr>
            </w:pPr>
            <w:r>
              <w:rPr>
                <w:rFonts w:hint="eastAsia" w:ascii="仿宋_GB2312" w:eastAsia="仿宋_GB2312" w:cs="仿宋_GB2312"/>
                <w:color w:val="000000"/>
                <w:spacing w:val="-20"/>
                <w:kern w:val="0"/>
                <w:sz w:val="24"/>
                <w:szCs w:val="24"/>
              </w:rPr>
              <w:t>《营业性演出管理条例》</w:t>
            </w:r>
            <w:r>
              <w:rPr>
                <w:rFonts w:ascii="仿宋_GB2312" w:eastAsia="仿宋_GB2312" w:cs="仿宋_GB2312"/>
                <w:color w:val="000000"/>
                <w:spacing w:val="-20"/>
                <w:kern w:val="0"/>
                <w:sz w:val="24"/>
                <w:szCs w:val="24"/>
              </w:rPr>
              <w:t xml:space="preserve"> </w:t>
            </w:r>
            <w:r>
              <w:rPr>
                <w:rFonts w:hint="eastAsia" w:ascii="仿宋_GB2312" w:eastAsia="仿宋_GB2312" w:cs="仿宋_GB2312"/>
                <w:color w:val="000000"/>
                <w:spacing w:val="-20"/>
                <w:kern w:val="0"/>
                <w:sz w:val="24"/>
                <w:szCs w:val="24"/>
              </w:rPr>
              <w:t>《营业性演出管理条例实施细则》</w:t>
            </w:r>
            <w:r>
              <w:rPr>
                <w:rFonts w:ascii="仿宋_GB2312" w:eastAsia="仿宋_GB2312" w:cs="仿宋_GB2312"/>
                <w:color w:val="000000"/>
                <w:spacing w:val="-20"/>
                <w:kern w:val="0"/>
                <w:sz w:val="24"/>
                <w:szCs w:val="24"/>
              </w:rPr>
              <w:t xml:space="preserve"> </w:t>
            </w:r>
          </w:p>
        </w:tc>
        <w:tc>
          <w:tcPr>
            <w:tcW w:w="1224" w:type="dxa"/>
            <w:vMerge w:val="continue"/>
            <w:vAlign w:val="center"/>
          </w:tcPr>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6" w:hRule="atLeast"/>
        </w:trPr>
        <w:tc>
          <w:tcPr>
            <w:tcW w:w="702" w:type="dxa"/>
            <w:vMerge w:val="restart"/>
            <w:vAlign w:val="center"/>
          </w:tcPr>
          <w:p>
            <w:pPr>
              <w:kinsoku w:val="0"/>
              <w:overflowPunct w:val="0"/>
              <w:autoSpaceDE w:val="0"/>
              <w:autoSpaceDN w:val="0"/>
              <w:adjustRightInd w:val="0"/>
              <w:snapToGrid w:val="0"/>
              <w:spacing w:line="320" w:lineRule="exact"/>
              <w:jc w:val="center"/>
              <w:rPr>
                <w:rFonts w:hint="default" w:ascii="仿宋_GB2312" w:hAnsi="仿宋_GB2312" w:eastAsia="仿宋_GB2312"/>
                <w:color w:val="000000"/>
                <w:spacing w:val="-28"/>
                <w:sz w:val="24"/>
                <w:szCs w:val="24"/>
                <w:lang w:val="en-US" w:eastAsia="zh-CN"/>
              </w:rPr>
            </w:pPr>
            <w:r>
              <w:rPr>
                <w:rFonts w:hint="eastAsia" w:ascii="仿宋_GB2312" w:hAnsi="仿宋_GB2312" w:eastAsia="仿宋_GB2312"/>
                <w:color w:val="000000"/>
                <w:spacing w:val="-28"/>
                <w:sz w:val="24"/>
                <w:szCs w:val="24"/>
                <w:lang w:val="en-US" w:eastAsia="zh-CN"/>
              </w:rPr>
              <w:t>22</w:t>
            </w:r>
          </w:p>
        </w:tc>
        <w:tc>
          <w:tcPr>
            <w:tcW w:w="1228" w:type="dxa"/>
            <w:vMerge w:val="restart"/>
            <w:vAlign w:val="center"/>
          </w:tcPr>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r>
              <w:rPr>
                <w:rFonts w:hint="eastAsia" w:ascii="仿宋_GB2312" w:hAnsi="仿宋_GB2312" w:eastAsia="仿宋_GB2312" w:cs="仿宋_GB2312"/>
                <w:color w:val="000000"/>
                <w:spacing w:val="-28"/>
                <w:sz w:val="24"/>
                <w:szCs w:val="24"/>
              </w:rPr>
              <w:t>旅游场所</w:t>
            </w:r>
          </w:p>
        </w:tc>
        <w:tc>
          <w:tcPr>
            <w:tcW w:w="3568" w:type="dxa"/>
            <w:tcBorders>
              <w:bottom w:val="single" w:color="auto" w:sz="4" w:space="0"/>
            </w:tcBorders>
            <w:vAlign w:val="center"/>
          </w:tcPr>
          <w:p>
            <w:pPr>
              <w:kinsoku w:val="0"/>
              <w:overflowPunct w:val="0"/>
              <w:autoSpaceDE w:val="0"/>
              <w:autoSpaceDN w:val="0"/>
              <w:adjustRightInd w:val="0"/>
              <w:snapToGrid w:val="0"/>
              <w:spacing w:line="300" w:lineRule="exact"/>
              <w:rPr>
                <w:rFonts w:ascii="仿宋_GB2312" w:eastAsia="仿宋_GB2312"/>
                <w:color w:val="000000"/>
                <w:spacing w:val="-20"/>
                <w:kern w:val="0"/>
                <w:sz w:val="24"/>
                <w:szCs w:val="24"/>
              </w:rPr>
            </w:pPr>
            <w:r>
              <w:rPr>
                <w:rFonts w:ascii="仿宋_GB2312" w:eastAsia="仿宋_GB2312" w:cs="仿宋_GB2312"/>
                <w:color w:val="000000"/>
                <w:spacing w:val="-20"/>
                <w:kern w:val="0"/>
                <w:sz w:val="24"/>
                <w:szCs w:val="24"/>
              </w:rPr>
              <w:t>1.</w:t>
            </w:r>
            <w:r>
              <w:rPr>
                <w:rFonts w:hint="eastAsia" w:ascii="仿宋_GB2312" w:eastAsia="仿宋_GB2312" w:cs="仿宋_GB2312"/>
                <w:color w:val="000000"/>
                <w:spacing w:val="-20"/>
                <w:kern w:val="0"/>
                <w:sz w:val="24"/>
                <w:szCs w:val="24"/>
              </w:rPr>
              <w:t>设施和服务是否不低于相应的标准；</w:t>
            </w:r>
          </w:p>
          <w:p>
            <w:pPr>
              <w:kinsoku w:val="0"/>
              <w:overflowPunct w:val="0"/>
              <w:autoSpaceDE w:val="0"/>
              <w:autoSpaceDN w:val="0"/>
              <w:adjustRightInd w:val="0"/>
              <w:snapToGrid w:val="0"/>
              <w:spacing w:line="300" w:lineRule="exact"/>
              <w:rPr>
                <w:rFonts w:ascii="仿宋_GB2312" w:eastAsia="仿宋_GB2312"/>
                <w:color w:val="000000"/>
                <w:spacing w:val="-20"/>
                <w:kern w:val="0"/>
                <w:sz w:val="24"/>
                <w:szCs w:val="24"/>
              </w:rPr>
            </w:pPr>
            <w:r>
              <w:rPr>
                <w:rFonts w:ascii="仿宋_GB2312" w:eastAsia="仿宋_GB2312" w:cs="仿宋_GB2312"/>
                <w:color w:val="000000"/>
                <w:spacing w:val="-20"/>
                <w:kern w:val="0"/>
                <w:sz w:val="24"/>
                <w:szCs w:val="24"/>
              </w:rPr>
              <w:t>2.</w:t>
            </w:r>
            <w:r>
              <w:rPr>
                <w:rFonts w:hint="eastAsia" w:ascii="仿宋_GB2312" w:eastAsia="仿宋_GB2312" w:cs="仿宋_GB2312"/>
                <w:color w:val="000000"/>
                <w:spacing w:val="-20"/>
                <w:kern w:val="0"/>
                <w:sz w:val="24"/>
                <w:szCs w:val="24"/>
              </w:rPr>
              <w:t>未取得质量等级的旅游企业是否使用相关质量等级的称谓和标识。</w:t>
            </w:r>
          </w:p>
          <w:p>
            <w:pPr>
              <w:kinsoku w:val="0"/>
              <w:overflowPunct w:val="0"/>
              <w:autoSpaceDE w:val="0"/>
              <w:autoSpaceDN w:val="0"/>
              <w:adjustRightInd w:val="0"/>
              <w:snapToGrid w:val="0"/>
              <w:spacing w:line="300" w:lineRule="exact"/>
              <w:rPr>
                <w:rFonts w:ascii="仿宋_GB2312" w:eastAsia="仿宋_GB2312"/>
                <w:color w:val="000000"/>
                <w:spacing w:val="-20"/>
                <w:kern w:val="0"/>
                <w:sz w:val="24"/>
                <w:szCs w:val="24"/>
              </w:rPr>
            </w:pPr>
            <w:r>
              <w:rPr>
                <w:rFonts w:ascii="仿宋_GB2312" w:eastAsia="仿宋_GB2312" w:cs="仿宋_GB2312"/>
                <w:color w:val="000000"/>
                <w:spacing w:val="-20"/>
                <w:kern w:val="0"/>
                <w:sz w:val="24"/>
                <w:szCs w:val="24"/>
              </w:rPr>
              <w:t>3.</w:t>
            </w:r>
            <w:r>
              <w:rPr>
                <w:rFonts w:hint="eastAsia" w:ascii="仿宋_GB2312" w:eastAsia="仿宋_GB2312" w:cs="仿宋_GB2312"/>
                <w:color w:val="000000"/>
                <w:spacing w:val="-20"/>
                <w:kern w:val="0"/>
                <w:sz w:val="24"/>
                <w:szCs w:val="24"/>
              </w:rPr>
              <w:t>登记事项检查。</w:t>
            </w:r>
          </w:p>
        </w:tc>
        <w:tc>
          <w:tcPr>
            <w:tcW w:w="1283" w:type="dxa"/>
            <w:tcBorders>
              <w:bottom w:val="single" w:color="auto" w:sz="4" w:space="0"/>
            </w:tcBorders>
            <w:vAlign w:val="center"/>
          </w:tcPr>
          <w:p>
            <w:pPr>
              <w:kinsoku w:val="0"/>
              <w:overflowPunct w:val="0"/>
              <w:autoSpaceDE w:val="0"/>
              <w:autoSpaceDN w:val="0"/>
              <w:adjustRightInd w:val="0"/>
              <w:snapToGrid w:val="0"/>
              <w:spacing w:line="360" w:lineRule="exact"/>
              <w:jc w:val="center"/>
              <w:rPr>
                <w:rFonts w:ascii="仿宋_GB2312" w:eastAsia="仿宋_GB2312"/>
                <w:color w:val="000000"/>
                <w:spacing w:val="-20"/>
                <w:kern w:val="0"/>
                <w:sz w:val="24"/>
                <w:szCs w:val="24"/>
              </w:rPr>
            </w:pPr>
            <w:r>
              <w:rPr>
                <w:rFonts w:ascii="仿宋_GB2312" w:eastAsia="仿宋_GB2312" w:cs="仿宋_GB2312"/>
                <w:color w:val="000000"/>
                <w:spacing w:val="-20"/>
                <w:kern w:val="0"/>
                <w:sz w:val="24"/>
                <w:szCs w:val="24"/>
              </w:rPr>
              <w:t>A</w:t>
            </w:r>
            <w:r>
              <w:rPr>
                <w:rFonts w:hint="eastAsia" w:ascii="仿宋_GB2312" w:eastAsia="仿宋_GB2312" w:cs="仿宋_GB2312"/>
                <w:color w:val="000000"/>
                <w:spacing w:val="-20"/>
                <w:kern w:val="0"/>
                <w:sz w:val="24"/>
                <w:szCs w:val="24"/>
              </w:rPr>
              <w:t>级旅游景区</w:t>
            </w:r>
          </w:p>
          <w:p>
            <w:pPr>
              <w:kinsoku w:val="0"/>
              <w:overflowPunct w:val="0"/>
              <w:autoSpaceDE w:val="0"/>
              <w:autoSpaceDN w:val="0"/>
              <w:adjustRightInd w:val="0"/>
              <w:snapToGrid w:val="0"/>
              <w:spacing w:line="360" w:lineRule="exact"/>
              <w:jc w:val="center"/>
              <w:rPr>
                <w:rFonts w:ascii="仿宋_GB2312" w:eastAsia="仿宋_GB2312"/>
                <w:color w:val="000000"/>
                <w:spacing w:val="-20"/>
                <w:kern w:val="0"/>
                <w:sz w:val="24"/>
                <w:szCs w:val="24"/>
              </w:rPr>
            </w:pPr>
            <w:r>
              <w:rPr>
                <w:rFonts w:hint="eastAsia" w:ascii="仿宋_GB2312" w:eastAsia="仿宋_GB2312" w:cs="仿宋_GB2312"/>
                <w:color w:val="000000"/>
                <w:spacing w:val="-20"/>
                <w:kern w:val="0"/>
                <w:sz w:val="24"/>
                <w:szCs w:val="24"/>
              </w:rPr>
              <w:t>星级饭店</w:t>
            </w:r>
          </w:p>
        </w:tc>
        <w:tc>
          <w:tcPr>
            <w:tcW w:w="1283" w:type="dxa"/>
            <w:vMerge w:val="restart"/>
            <w:vAlign w:val="center"/>
          </w:tcPr>
          <w:p>
            <w:pPr>
              <w:kinsoku w:val="0"/>
              <w:overflowPunct w:val="0"/>
              <w:autoSpaceDE w:val="0"/>
              <w:autoSpaceDN w:val="0"/>
              <w:adjustRightInd w:val="0"/>
              <w:snapToGrid w:val="0"/>
              <w:spacing w:line="280" w:lineRule="exact"/>
              <w:ind w:left="31680" w:hanging="100" w:hangingChars="50"/>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一般检查</w:t>
            </w:r>
          </w:p>
          <w:p>
            <w:pPr>
              <w:kinsoku w:val="0"/>
              <w:overflowPunct w:val="0"/>
              <w:autoSpaceDE w:val="0"/>
              <w:autoSpaceDN w:val="0"/>
              <w:adjustRightInd w:val="0"/>
              <w:snapToGrid w:val="0"/>
              <w:spacing w:line="280" w:lineRule="exact"/>
              <w:ind w:left="31680" w:hanging="100" w:hangingChars="50"/>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事项</w:t>
            </w:r>
          </w:p>
        </w:tc>
        <w:tc>
          <w:tcPr>
            <w:tcW w:w="1267" w:type="dxa"/>
            <w:vMerge w:val="restart"/>
            <w:tcBorders>
              <w:top w:val="single" w:color="auto" w:sz="4" w:space="0"/>
            </w:tcBorders>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书面核查、</w:t>
            </w:r>
          </w:p>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r>
              <w:rPr>
                <w:rFonts w:hint="eastAsia" w:ascii="仿宋_GB2312" w:hAnsi="仿宋" w:eastAsia="仿宋_GB2312" w:cs="仿宋_GB2312"/>
                <w:color w:val="000000"/>
                <w:spacing w:val="-20"/>
                <w:kern w:val="0"/>
                <w:sz w:val="24"/>
                <w:szCs w:val="24"/>
              </w:rPr>
              <w:t>实地核查</w:t>
            </w:r>
          </w:p>
        </w:tc>
        <w:tc>
          <w:tcPr>
            <w:tcW w:w="4407" w:type="dxa"/>
            <w:tcBorders>
              <w:bottom w:val="single" w:color="auto" w:sz="4" w:space="0"/>
            </w:tcBorders>
            <w:vAlign w:val="center"/>
          </w:tcPr>
          <w:p>
            <w:pPr>
              <w:kinsoku w:val="0"/>
              <w:overflowPunct w:val="0"/>
              <w:autoSpaceDE w:val="0"/>
              <w:autoSpaceDN w:val="0"/>
              <w:adjustRightInd w:val="0"/>
              <w:snapToGrid w:val="0"/>
              <w:spacing w:line="280" w:lineRule="exact"/>
              <w:ind w:left="31680" w:hanging="100" w:hangingChars="50"/>
              <w:jc w:val="left"/>
              <w:rPr>
                <w:rFonts w:ascii="仿宋_GB2312" w:eastAsia="仿宋_GB2312"/>
                <w:color w:val="000000"/>
                <w:spacing w:val="-20"/>
                <w:kern w:val="0"/>
                <w:sz w:val="24"/>
                <w:szCs w:val="24"/>
              </w:rPr>
            </w:pPr>
            <w:r>
              <w:rPr>
                <w:rFonts w:hint="eastAsia" w:ascii="仿宋_GB2312" w:eastAsia="仿宋_GB2312" w:cs="仿宋_GB2312"/>
                <w:color w:val="000000"/>
                <w:spacing w:val="-20"/>
                <w:kern w:val="0"/>
                <w:sz w:val="24"/>
                <w:szCs w:val="24"/>
              </w:rPr>
              <w:t>《中华人民共和国旅游法》</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3" w:hRule="atLeast"/>
        </w:trPr>
        <w:tc>
          <w:tcPr>
            <w:tcW w:w="702" w:type="dxa"/>
            <w:vMerge w:val="continue"/>
            <w:vAlign w:val="center"/>
          </w:tcPr>
          <w:p>
            <w:pPr>
              <w:kinsoku w:val="0"/>
              <w:overflowPunct w:val="0"/>
              <w:autoSpaceDE w:val="0"/>
              <w:autoSpaceDN w:val="0"/>
              <w:adjustRightInd w:val="0"/>
              <w:snapToGrid w:val="0"/>
              <w:spacing w:line="320" w:lineRule="exact"/>
              <w:jc w:val="center"/>
              <w:rPr>
                <w:rFonts w:ascii="仿宋_GB2312" w:hAnsi="仿宋_GB2312" w:eastAsia="仿宋_GB2312"/>
                <w:color w:val="000000"/>
                <w:spacing w:val="-28"/>
                <w:sz w:val="24"/>
                <w:szCs w:val="24"/>
              </w:rPr>
            </w:pPr>
          </w:p>
        </w:tc>
        <w:tc>
          <w:tcPr>
            <w:tcW w:w="1228" w:type="dxa"/>
            <w:vMerge w:val="continue"/>
            <w:vAlign w:val="center"/>
          </w:tcPr>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p>
        </w:tc>
        <w:tc>
          <w:tcPr>
            <w:tcW w:w="3568" w:type="dxa"/>
            <w:tcBorders>
              <w:top w:val="single" w:color="auto" w:sz="4" w:space="0"/>
            </w:tcBorders>
            <w:vAlign w:val="center"/>
          </w:tcPr>
          <w:p>
            <w:pPr>
              <w:kinsoku w:val="0"/>
              <w:overflowPunct w:val="0"/>
              <w:autoSpaceDE w:val="0"/>
              <w:autoSpaceDN w:val="0"/>
              <w:adjustRightInd w:val="0"/>
              <w:snapToGrid w:val="0"/>
              <w:spacing w:line="300" w:lineRule="exact"/>
              <w:rPr>
                <w:rFonts w:ascii="仿宋_GB2312" w:eastAsia="仿宋_GB2312"/>
                <w:color w:val="000000"/>
                <w:spacing w:val="-20"/>
                <w:kern w:val="0"/>
                <w:sz w:val="24"/>
                <w:szCs w:val="24"/>
              </w:rPr>
            </w:pPr>
            <w:r>
              <w:rPr>
                <w:rFonts w:ascii="仿宋_GB2312" w:eastAsia="仿宋_GB2312" w:cs="仿宋_GB2312"/>
                <w:color w:val="000000"/>
                <w:spacing w:val="-20"/>
                <w:kern w:val="0"/>
                <w:sz w:val="24"/>
                <w:szCs w:val="24"/>
              </w:rPr>
              <w:t>1.</w:t>
            </w:r>
            <w:r>
              <w:rPr>
                <w:rFonts w:hint="eastAsia" w:ascii="仿宋_GB2312" w:eastAsia="仿宋_GB2312" w:cs="仿宋_GB2312"/>
                <w:color w:val="000000"/>
                <w:spacing w:val="-20"/>
                <w:kern w:val="0"/>
                <w:sz w:val="24"/>
                <w:szCs w:val="24"/>
              </w:rPr>
              <w:t>经营旅游社业务是否取得经营执业许可；</w:t>
            </w:r>
          </w:p>
          <w:p>
            <w:pPr>
              <w:kinsoku w:val="0"/>
              <w:overflowPunct w:val="0"/>
              <w:autoSpaceDE w:val="0"/>
              <w:autoSpaceDN w:val="0"/>
              <w:adjustRightInd w:val="0"/>
              <w:snapToGrid w:val="0"/>
              <w:spacing w:line="300" w:lineRule="exact"/>
              <w:rPr>
                <w:rFonts w:ascii="仿宋_GB2312" w:eastAsia="仿宋_GB2312"/>
                <w:color w:val="000000"/>
                <w:spacing w:val="-20"/>
                <w:kern w:val="0"/>
                <w:sz w:val="24"/>
                <w:szCs w:val="24"/>
              </w:rPr>
            </w:pPr>
            <w:r>
              <w:rPr>
                <w:rFonts w:ascii="仿宋_GB2312" w:eastAsia="仿宋_GB2312" w:cs="仿宋_GB2312"/>
                <w:color w:val="000000"/>
                <w:spacing w:val="-20"/>
                <w:kern w:val="0"/>
                <w:sz w:val="24"/>
                <w:szCs w:val="24"/>
              </w:rPr>
              <w:t>2.</w:t>
            </w:r>
            <w:r>
              <w:rPr>
                <w:rFonts w:hint="eastAsia" w:ascii="仿宋_GB2312" w:eastAsia="仿宋_GB2312" w:cs="仿宋_GB2312"/>
                <w:color w:val="000000"/>
                <w:spacing w:val="-20"/>
                <w:kern w:val="0"/>
                <w:sz w:val="24"/>
                <w:szCs w:val="24"/>
              </w:rPr>
              <w:t>是否与导游等长期聘用人员签订劳动合同办理相关合同社会保险；</w:t>
            </w:r>
          </w:p>
          <w:p>
            <w:pPr>
              <w:kinsoku w:val="0"/>
              <w:overflowPunct w:val="0"/>
              <w:autoSpaceDE w:val="0"/>
              <w:autoSpaceDN w:val="0"/>
              <w:adjustRightInd w:val="0"/>
              <w:snapToGrid w:val="0"/>
              <w:spacing w:line="300" w:lineRule="exact"/>
              <w:rPr>
                <w:rFonts w:ascii="仿宋_GB2312" w:eastAsia="仿宋_GB2312"/>
                <w:color w:val="000000"/>
                <w:spacing w:val="-20"/>
                <w:kern w:val="0"/>
                <w:sz w:val="24"/>
                <w:szCs w:val="24"/>
              </w:rPr>
            </w:pPr>
            <w:r>
              <w:rPr>
                <w:rFonts w:ascii="仿宋_GB2312" w:eastAsia="仿宋_GB2312" w:cs="仿宋_GB2312"/>
                <w:color w:val="000000"/>
                <w:spacing w:val="-20"/>
                <w:kern w:val="0"/>
                <w:sz w:val="24"/>
                <w:szCs w:val="24"/>
              </w:rPr>
              <w:t>3.</w:t>
            </w:r>
            <w:r>
              <w:rPr>
                <w:rFonts w:hint="eastAsia" w:ascii="仿宋_GB2312" w:eastAsia="仿宋_GB2312" w:cs="仿宋_GB2312"/>
                <w:color w:val="000000"/>
                <w:spacing w:val="-20"/>
                <w:kern w:val="0"/>
                <w:sz w:val="24"/>
                <w:szCs w:val="24"/>
              </w:rPr>
              <w:t>是否与旅游者签订旅游合同提供相关旅游服务；</w:t>
            </w:r>
          </w:p>
          <w:p>
            <w:pPr>
              <w:kinsoku w:val="0"/>
              <w:overflowPunct w:val="0"/>
              <w:autoSpaceDE w:val="0"/>
              <w:autoSpaceDN w:val="0"/>
              <w:adjustRightInd w:val="0"/>
              <w:snapToGrid w:val="0"/>
              <w:spacing w:line="300" w:lineRule="exact"/>
              <w:rPr>
                <w:rFonts w:ascii="仿宋_GB2312" w:eastAsia="仿宋_GB2312"/>
                <w:color w:val="000000"/>
                <w:spacing w:val="-20"/>
                <w:kern w:val="0"/>
                <w:sz w:val="24"/>
                <w:szCs w:val="24"/>
              </w:rPr>
            </w:pPr>
            <w:r>
              <w:rPr>
                <w:rFonts w:ascii="仿宋_GB2312" w:eastAsia="仿宋_GB2312" w:cs="仿宋_GB2312"/>
                <w:color w:val="000000"/>
                <w:spacing w:val="-20"/>
                <w:kern w:val="0"/>
                <w:sz w:val="24"/>
                <w:szCs w:val="24"/>
              </w:rPr>
              <w:t>4.</w:t>
            </w:r>
            <w:r>
              <w:rPr>
                <w:rFonts w:hint="eastAsia" w:ascii="仿宋_GB2312" w:eastAsia="仿宋_GB2312" w:cs="仿宋_GB2312"/>
                <w:color w:val="000000"/>
                <w:spacing w:val="-20"/>
                <w:kern w:val="0"/>
                <w:sz w:val="24"/>
                <w:szCs w:val="24"/>
              </w:rPr>
              <w:t>是否依法经营，有无不正当竞争行为及损害消费者合法权益的行为；</w:t>
            </w:r>
          </w:p>
          <w:p>
            <w:pPr>
              <w:kinsoku w:val="0"/>
              <w:overflowPunct w:val="0"/>
              <w:autoSpaceDE w:val="0"/>
              <w:autoSpaceDN w:val="0"/>
              <w:adjustRightInd w:val="0"/>
              <w:snapToGrid w:val="0"/>
              <w:spacing w:line="300" w:lineRule="exact"/>
              <w:rPr>
                <w:rFonts w:ascii="仿宋_GB2312" w:eastAsia="仿宋_GB2312"/>
                <w:color w:val="000000"/>
                <w:spacing w:val="-20"/>
                <w:kern w:val="0"/>
                <w:sz w:val="24"/>
                <w:szCs w:val="24"/>
              </w:rPr>
            </w:pPr>
            <w:r>
              <w:rPr>
                <w:rFonts w:ascii="仿宋_GB2312" w:eastAsia="仿宋_GB2312" w:cs="仿宋_GB2312"/>
                <w:color w:val="000000"/>
                <w:spacing w:val="-20"/>
                <w:kern w:val="0"/>
                <w:sz w:val="24"/>
                <w:szCs w:val="24"/>
              </w:rPr>
              <w:t>5.</w:t>
            </w:r>
            <w:r>
              <w:rPr>
                <w:rFonts w:hint="eastAsia" w:ascii="仿宋_GB2312" w:eastAsia="仿宋_GB2312" w:cs="仿宋_GB2312"/>
                <w:color w:val="000000"/>
                <w:spacing w:val="-20"/>
                <w:kern w:val="0"/>
                <w:sz w:val="24"/>
                <w:szCs w:val="24"/>
              </w:rPr>
              <w:t>分支机构的名称标牌经营范围是否符合</w:t>
            </w:r>
            <w:r>
              <w:rPr>
                <w:rFonts w:ascii="仿宋_GB2312" w:eastAsia="仿宋_GB2312" w:cs="仿宋_GB2312"/>
                <w:color w:val="000000"/>
                <w:spacing w:val="-20"/>
                <w:kern w:val="0"/>
                <w:sz w:val="24"/>
                <w:szCs w:val="24"/>
              </w:rPr>
              <w:t>4</w:t>
            </w:r>
            <w:r>
              <w:rPr>
                <w:rFonts w:hint="eastAsia" w:ascii="仿宋_GB2312" w:eastAsia="仿宋_GB2312" w:cs="仿宋_GB2312"/>
                <w:color w:val="000000"/>
                <w:spacing w:val="-20"/>
                <w:kern w:val="0"/>
                <w:sz w:val="24"/>
                <w:szCs w:val="24"/>
              </w:rPr>
              <w:t>法律规定；</w:t>
            </w:r>
          </w:p>
          <w:p>
            <w:pPr>
              <w:kinsoku w:val="0"/>
              <w:overflowPunct w:val="0"/>
              <w:autoSpaceDE w:val="0"/>
              <w:autoSpaceDN w:val="0"/>
              <w:adjustRightInd w:val="0"/>
              <w:snapToGrid w:val="0"/>
              <w:spacing w:line="300" w:lineRule="exact"/>
              <w:rPr>
                <w:rFonts w:ascii="仿宋_GB2312" w:eastAsia="仿宋_GB2312"/>
                <w:color w:val="000000"/>
                <w:spacing w:val="-20"/>
                <w:kern w:val="0"/>
                <w:sz w:val="24"/>
                <w:szCs w:val="24"/>
              </w:rPr>
            </w:pPr>
            <w:r>
              <w:rPr>
                <w:rFonts w:ascii="仿宋_GB2312" w:eastAsia="仿宋_GB2312" w:cs="仿宋_GB2312"/>
                <w:color w:val="000000"/>
                <w:spacing w:val="-20"/>
                <w:kern w:val="0"/>
                <w:sz w:val="24"/>
                <w:szCs w:val="24"/>
              </w:rPr>
              <w:t>6.</w:t>
            </w:r>
            <w:r>
              <w:rPr>
                <w:rFonts w:hint="eastAsia" w:ascii="仿宋_GB2312" w:eastAsia="仿宋_GB2312" w:cs="仿宋_GB2312"/>
                <w:color w:val="000000"/>
                <w:spacing w:val="-20"/>
                <w:kern w:val="0"/>
                <w:sz w:val="24"/>
                <w:szCs w:val="24"/>
              </w:rPr>
              <w:t>经营场所基础经营条件是否符合法律规定；</w:t>
            </w:r>
          </w:p>
        </w:tc>
        <w:tc>
          <w:tcPr>
            <w:tcW w:w="1283" w:type="dxa"/>
            <w:tcBorders>
              <w:top w:val="single" w:color="auto" w:sz="4" w:space="0"/>
            </w:tcBorders>
            <w:vAlign w:val="center"/>
          </w:tcPr>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r>
              <w:rPr>
                <w:rFonts w:hint="eastAsia" w:ascii="仿宋_GB2312" w:eastAsia="仿宋_GB2312" w:cs="仿宋_GB2312"/>
                <w:color w:val="000000"/>
                <w:spacing w:val="-20"/>
                <w:kern w:val="0"/>
                <w:sz w:val="24"/>
                <w:szCs w:val="24"/>
              </w:rPr>
              <w:t>旅行社</w:t>
            </w:r>
          </w:p>
        </w:tc>
        <w:tc>
          <w:tcPr>
            <w:tcW w:w="1283" w:type="dxa"/>
            <w:vMerge w:val="continue"/>
            <w:vAlign w:val="center"/>
          </w:tcPr>
          <w:p>
            <w:pPr>
              <w:kinsoku w:val="0"/>
              <w:overflowPunct w:val="0"/>
              <w:autoSpaceDE w:val="0"/>
              <w:autoSpaceDN w:val="0"/>
              <w:adjustRightInd w:val="0"/>
              <w:snapToGrid w:val="0"/>
              <w:spacing w:line="320" w:lineRule="exact"/>
              <w:jc w:val="center"/>
              <w:rPr>
                <w:rFonts w:ascii="仿宋_GB2312" w:hAnsi="仿宋_GB2312" w:eastAsia="仿宋_GB2312"/>
                <w:color w:val="000000"/>
                <w:spacing w:val="-28"/>
                <w:sz w:val="24"/>
                <w:szCs w:val="24"/>
              </w:rPr>
            </w:pPr>
          </w:p>
        </w:tc>
        <w:tc>
          <w:tcPr>
            <w:tcW w:w="1267" w:type="dxa"/>
            <w:vMerge w:val="continue"/>
            <w:vAlign w:val="center"/>
          </w:tcPr>
          <w:p>
            <w:pPr>
              <w:kinsoku w:val="0"/>
              <w:overflowPunct w:val="0"/>
              <w:autoSpaceDE w:val="0"/>
              <w:autoSpaceDN w:val="0"/>
              <w:adjustRightInd w:val="0"/>
              <w:snapToGrid w:val="0"/>
              <w:spacing w:line="320" w:lineRule="exact"/>
              <w:rPr>
                <w:rFonts w:ascii="仿宋_GB2312" w:hAnsi="仿宋_GB2312" w:eastAsia="仿宋_GB2312"/>
                <w:color w:val="000000"/>
                <w:spacing w:val="-28"/>
                <w:sz w:val="24"/>
                <w:szCs w:val="24"/>
              </w:rPr>
            </w:pPr>
          </w:p>
        </w:tc>
        <w:tc>
          <w:tcPr>
            <w:tcW w:w="4407" w:type="dxa"/>
            <w:tcBorders>
              <w:top w:val="single" w:color="auto" w:sz="4" w:space="0"/>
            </w:tcBorders>
            <w:vAlign w:val="center"/>
          </w:tcPr>
          <w:p>
            <w:pPr>
              <w:kinsoku w:val="0"/>
              <w:overflowPunct w:val="0"/>
              <w:autoSpaceDE w:val="0"/>
              <w:autoSpaceDN w:val="0"/>
              <w:adjustRightInd w:val="0"/>
              <w:snapToGrid w:val="0"/>
              <w:spacing w:line="280" w:lineRule="exact"/>
              <w:jc w:val="left"/>
              <w:rPr>
                <w:rFonts w:ascii="仿宋_GB2312" w:eastAsia="仿宋_GB2312"/>
                <w:color w:val="000000"/>
                <w:spacing w:val="-20"/>
                <w:kern w:val="0"/>
                <w:sz w:val="24"/>
                <w:szCs w:val="24"/>
              </w:rPr>
            </w:pPr>
            <w:r>
              <w:rPr>
                <w:rFonts w:hint="eastAsia" w:ascii="仿宋_GB2312" w:eastAsia="仿宋_GB2312" w:cs="仿宋_GB2312"/>
                <w:color w:val="000000"/>
                <w:spacing w:val="-20"/>
                <w:kern w:val="0"/>
                <w:sz w:val="24"/>
                <w:szCs w:val="24"/>
              </w:rPr>
              <w:t>《中华人民共和国旅游法》《旅行社条例》</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702" w:type="dxa"/>
            <w:vAlign w:val="center"/>
          </w:tcPr>
          <w:p>
            <w:pPr>
              <w:jc w:val="center"/>
              <w:rPr>
                <w:rFonts w:hint="default" w:ascii="宋体" w:eastAsia="宋体" w:cs="宋体"/>
                <w:b/>
                <w:bCs/>
                <w:color w:val="000000"/>
                <w:sz w:val="24"/>
                <w:szCs w:val="24"/>
                <w:lang w:val="en-US" w:eastAsia="zh-CN"/>
              </w:rPr>
            </w:pPr>
            <w:r>
              <w:rPr>
                <w:rFonts w:hint="eastAsia" w:ascii="宋体" w:cs="宋体"/>
                <w:b/>
                <w:bCs/>
                <w:color w:val="000000"/>
                <w:sz w:val="24"/>
                <w:szCs w:val="24"/>
                <w:lang w:val="en-US" w:eastAsia="zh-CN"/>
              </w:rPr>
              <w:t>23</w:t>
            </w:r>
          </w:p>
        </w:tc>
        <w:tc>
          <w:tcPr>
            <w:tcW w:w="1228" w:type="dxa"/>
            <w:tcBorders>
              <w:right w:val="single" w:color="auto" w:sz="4" w:space="0"/>
            </w:tcBorders>
            <w:vAlign w:val="center"/>
          </w:tcPr>
          <w:p>
            <w:pPr>
              <w:kinsoku w:val="0"/>
              <w:overflowPunct w:val="0"/>
              <w:autoSpaceDE w:val="0"/>
              <w:autoSpaceDN w:val="0"/>
              <w:adjustRightInd w:val="0"/>
              <w:snapToGrid w:val="0"/>
              <w:spacing w:line="360" w:lineRule="exact"/>
              <w:rPr>
                <w:rFonts w:ascii="宋体" w:cs="宋体"/>
                <w:b/>
                <w:bCs/>
                <w:color w:val="000000"/>
                <w:sz w:val="24"/>
                <w:szCs w:val="24"/>
              </w:rPr>
            </w:pPr>
            <w:r>
              <w:rPr>
                <w:rFonts w:hint="eastAsia" w:ascii="仿宋_GB2312" w:hAnsi="仿宋" w:eastAsia="仿宋_GB2312" w:cs="仿宋_GB2312"/>
                <w:color w:val="000000"/>
                <w:spacing w:val="-20"/>
                <w:kern w:val="0"/>
                <w:sz w:val="24"/>
                <w:szCs w:val="24"/>
              </w:rPr>
              <w:t>艺术类教育培训机构监督检查</w:t>
            </w:r>
          </w:p>
        </w:tc>
        <w:tc>
          <w:tcPr>
            <w:tcW w:w="3568" w:type="dxa"/>
            <w:tcBorders>
              <w:left w:val="single" w:color="auto" w:sz="4" w:space="0"/>
            </w:tcBorders>
            <w:vAlign w:val="center"/>
          </w:tcPr>
          <w:p>
            <w:pPr>
              <w:jc w:val="center"/>
              <w:rPr>
                <w:rFonts w:ascii="宋体" w:cs="宋体"/>
                <w:b/>
                <w:bCs/>
                <w:color w:val="000000"/>
                <w:sz w:val="24"/>
                <w:szCs w:val="24"/>
              </w:rPr>
            </w:pPr>
            <w:r>
              <w:rPr>
                <w:rFonts w:hint="eastAsia" w:ascii="仿宋_GB2312" w:hAnsi="宋体" w:eastAsia="仿宋_GB2312" w:cs="仿宋_GB2312"/>
                <w:color w:val="000000"/>
                <w:spacing w:val="-20"/>
                <w:sz w:val="24"/>
                <w:szCs w:val="24"/>
              </w:rPr>
              <w:t>安全稳定工作情况；教学及管理；财务管理、收费情况；发布招生广告简章和招生情况；信息公开情况的检查</w:t>
            </w:r>
          </w:p>
        </w:tc>
        <w:tc>
          <w:tcPr>
            <w:tcW w:w="1283" w:type="dxa"/>
            <w:vAlign w:val="center"/>
          </w:tcPr>
          <w:p>
            <w:pPr>
              <w:kinsoku w:val="0"/>
              <w:overflowPunct w:val="0"/>
              <w:autoSpaceDE w:val="0"/>
              <w:autoSpaceDN w:val="0"/>
              <w:adjustRightInd w:val="0"/>
              <w:snapToGrid w:val="0"/>
              <w:spacing w:line="360" w:lineRule="exact"/>
              <w:rPr>
                <w:rFonts w:ascii="宋体" w:cs="宋体"/>
                <w:b/>
                <w:bCs/>
                <w:color w:val="000000"/>
                <w:sz w:val="24"/>
                <w:szCs w:val="24"/>
              </w:rPr>
            </w:pPr>
            <w:r>
              <w:rPr>
                <w:rFonts w:hint="eastAsia" w:ascii="仿宋_GB2312" w:hAnsi="仿宋" w:eastAsia="仿宋_GB2312" w:cs="仿宋_GB2312"/>
                <w:color w:val="000000"/>
                <w:spacing w:val="-20"/>
                <w:kern w:val="0"/>
                <w:sz w:val="24"/>
                <w:szCs w:val="24"/>
              </w:rPr>
              <w:t>全区艺术类教育培训机构</w:t>
            </w:r>
          </w:p>
        </w:tc>
        <w:tc>
          <w:tcPr>
            <w:tcW w:w="1283" w:type="dxa"/>
            <w:vAlign w:val="center"/>
          </w:tcPr>
          <w:p>
            <w:pPr>
              <w:kinsoku w:val="0"/>
              <w:overflowPunct w:val="0"/>
              <w:autoSpaceDE w:val="0"/>
              <w:autoSpaceDN w:val="0"/>
              <w:adjustRightInd w:val="0"/>
              <w:snapToGrid w:val="0"/>
              <w:spacing w:line="280" w:lineRule="exact"/>
              <w:ind w:left="31680" w:hanging="100" w:hangingChars="50"/>
              <w:jc w:val="center"/>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280" w:lineRule="exact"/>
              <w:ind w:left="31680" w:hanging="100" w:hangingChars="50"/>
              <w:jc w:val="center"/>
              <w:rPr>
                <w:rFonts w:ascii="宋体" w:cs="宋体"/>
                <w:b/>
                <w:bCs/>
                <w:color w:val="000000"/>
                <w:sz w:val="24"/>
                <w:szCs w:val="24"/>
              </w:rPr>
            </w:pPr>
            <w:r>
              <w:rPr>
                <w:rFonts w:hint="eastAsia" w:ascii="仿宋_GB2312" w:hAnsi="仿宋" w:eastAsia="仿宋_GB2312" w:cs="仿宋_GB2312"/>
                <w:color w:val="000000"/>
                <w:spacing w:val="-20"/>
                <w:kern w:val="0"/>
                <w:sz w:val="24"/>
                <w:szCs w:val="24"/>
              </w:rPr>
              <w:t>检查事项</w:t>
            </w:r>
          </w:p>
        </w:tc>
        <w:tc>
          <w:tcPr>
            <w:tcW w:w="1267" w:type="dxa"/>
            <w:tcBorders>
              <w:right w:val="single" w:color="auto" w:sz="4" w:space="0"/>
            </w:tcBorders>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书面核查、</w:t>
            </w:r>
          </w:p>
          <w:p>
            <w:pPr>
              <w:jc w:val="both"/>
              <w:rPr>
                <w:rFonts w:ascii="宋体" w:cs="宋体"/>
                <w:b/>
                <w:bCs/>
                <w:color w:val="000000"/>
                <w:sz w:val="24"/>
                <w:szCs w:val="24"/>
              </w:rPr>
            </w:pPr>
            <w:r>
              <w:rPr>
                <w:rFonts w:hint="eastAsia" w:ascii="仿宋_GB2312" w:hAnsi="仿宋" w:eastAsia="仿宋_GB2312" w:cs="仿宋_GB2312"/>
                <w:color w:val="000000"/>
                <w:spacing w:val="-20"/>
                <w:kern w:val="0"/>
                <w:sz w:val="24"/>
                <w:szCs w:val="24"/>
              </w:rPr>
              <w:t>实地核查</w:t>
            </w:r>
          </w:p>
          <w:p>
            <w:pPr>
              <w:jc w:val="center"/>
              <w:rPr>
                <w:rFonts w:ascii="宋体" w:cs="宋体"/>
                <w:b/>
                <w:bCs/>
                <w:color w:val="000000"/>
                <w:sz w:val="24"/>
                <w:szCs w:val="24"/>
              </w:rPr>
            </w:pPr>
          </w:p>
        </w:tc>
        <w:tc>
          <w:tcPr>
            <w:tcW w:w="4407" w:type="dxa"/>
            <w:tcBorders>
              <w:left w:val="single" w:color="auto" w:sz="4" w:space="0"/>
              <w:right w:val="single" w:color="auto" w:sz="4" w:space="0"/>
            </w:tcBorders>
            <w:vAlign w:val="center"/>
          </w:tcPr>
          <w:p>
            <w:pPr>
              <w:jc w:val="left"/>
              <w:rPr>
                <w:rFonts w:ascii="宋体" w:cs="宋体"/>
                <w:b/>
                <w:bCs/>
                <w:color w:val="000000"/>
                <w:sz w:val="24"/>
                <w:szCs w:val="24"/>
              </w:rPr>
            </w:pPr>
            <w:r>
              <w:rPr>
                <w:rFonts w:hint="eastAsia" w:ascii="仿宋_GB2312" w:hAnsi="仿宋" w:eastAsia="仿宋_GB2312" w:cs="仿宋_GB2312"/>
                <w:color w:val="000000"/>
                <w:spacing w:val="-20"/>
                <w:kern w:val="0"/>
                <w:sz w:val="24"/>
                <w:szCs w:val="24"/>
                <w:lang w:eastAsia="zh-CN"/>
              </w:rPr>
              <w:t>《</w:t>
            </w:r>
            <w:r>
              <w:rPr>
                <w:rFonts w:hint="eastAsia" w:ascii="仿宋_GB2312" w:hAnsi="仿宋" w:eastAsia="仿宋_GB2312" w:cs="仿宋_GB2312"/>
                <w:color w:val="000000"/>
                <w:spacing w:val="-20"/>
                <w:kern w:val="0"/>
                <w:sz w:val="24"/>
                <w:szCs w:val="24"/>
              </w:rPr>
              <w:t>民办教育促进法》第六十二条；《民办教育促进法实施条例》第二十六条；《营利性民办学校监督管理实施细则》第四十七条</w:t>
            </w:r>
          </w:p>
        </w:tc>
        <w:tc>
          <w:tcPr>
            <w:tcW w:w="1224" w:type="dxa"/>
            <w:tcBorders>
              <w:left w:val="single" w:color="auto" w:sz="4" w:space="0"/>
            </w:tcBorders>
            <w:vAlign w:val="center"/>
          </w:tcPr>
          <w:p>
            <w:pPr>
              <w:jc w:val="center"/>
              <w:rPr>
                <w:rFonts w:ascii="宋体" w:cs="宋体"/>
                <w:b/>
                <w:bCs/>
                <w:color w:val="000000"/>
                <w:sz w:val="24"/>
                <w:szCs w:val="24"/>
              </w:rPr>
            </w:pPr>
            <w:r>
              <w:rPr>
                <w:rFonts w:hint="eastAsia" w:ascii="仿宋_GB2312" w:hAnsi="仿宋_GB2312" w:eastAsia="仿宋_GB2312" w:cs="仿宋_GB2312"/>
                <w:color w:val="000000"/>
                <w:spacing w:val="-28"/>
                <w:sz w:val="24"/>
                <w:szCs w:val="24"/>
              </w:rPr>
              <w:t>宣传部（文旅广电局）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6" w:hRule="atLeast"/>
        </w:trPr>
        <w:tc>
          <w:tcPr>
            <w:tcW w:w="702" w:type="dxa"/>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sz w:val="24"/>
                <w:szCs w:val="24"/>
                <w:lang w:val="en-US" w:eastAsia="zh-CN"/>
              </w:rPr>
            </w:pPr>
            <w:r>
              <w:rPr>
                <w:rFonts w:hint="eastAsia" w:ascii="仿宋_GB2312" w:hAnsi="仿宋" w:eastAsia="仿宋_GB2312"/>
                <w:color w:val="000000"/>
                <w:spacing w:val="-20"/>
                <w:sz w:val="24"/>
                <w:szCs w:val="24"/>
                <w:lang w:val="en-US" w:eastAsia="zh-CN"/>
              </w:rPr>
              <w:t>24</w:t>
            </w:r>
          </w:p>
        </w:tc>
        <w:tc>
          <w:tcPr>
            <w:tcW w:w="122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机械企业检查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、自动电镀生产线的安全保护措施；</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、临时涂装作业的划定及安全措施的落实情况；</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、涂装烘干系统的烟囱中沉积物情况和定期清扫情况；</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、使用易燃易爆清洗剂时安全防护措施的落实情况；</w:t>
            </w:r>
            <w:r>
              <w:rPr>
                <w:rFonts w:ascii="仿宋_GB2312" w:hAnsi="仿宋" w:eastAsia="仿宋_GB2312" w:cs="仿宋_GB2312"/>
                <w:color w:val="000000"/>
                <w:spacing w:val="-20"/>
                <w:sz w:val="24"/>
                <w:szCs w:val="24"/>
              </w:rPr>
              <w:t>5</w:t>
            </w:r>
            <w:r>
              <w:rPr>
                <w:rFonts w:hint="eastAsia" w:ascii="仿宋_GB2312" w:hAnsi="仿宋" w:eastAsia="仿宋_GB2312" w:cs="仿宋_GB2312"/>
                <w:color w:val="000000"/>
                <w:spacing w:val="-20"/>
                <w:sz w:val="24"/>
                <w:szCs w:val="24"/>
              </w:rPr>
              <w:t>、集聚在密闭半密闭空间内易燃易爆气体的及时清理措施；</w:t>
            </w:r>
            <w:r>
              <w:rPr>
                <w:rFonts w:ascii="仿宋_GB2312" w:hAnsi="仿宋" w:eastAsia="仿宋_GB2312" w:cs="仿宋_GB2312"/>
                <w:color w:val="000000"/>
                <w:spacing w:val="-20"/>
                <w:sz w:val="24"/>
                <w:szCs w:val="24"/>
              </w:rPr>
              <w:t>6</w:t>
            </w:r>
            <w:r>
              <w:rPr>
                <w:rFonts w:hint="eastAsia" w:ascii="仿宋_GB2312" w:hAnsi="仿宋" w:eastAsia="仿宋_GB2312" w:cs="仿宋_GB2312"/>
                <w:color w:val="000000"/>
                <w:spacing w:val="-20"/>
                <w:sz w:val="24"/>
                <w:szCs w:val="24"/>
              </w:rPr>
              <w:t>、检修作业时的安全防护措施</w:t>
            </w:r>
          </w:p>
        </w:tc>
        <w:tc>
          <w:tcPr>
            <w:tcW w:w="1283" w:type="dxa"/>
            <w:tcBorders>
              <w:bottom w:val="single" w:color="auto" w:sz="4" w:space="0"/>
            </w:tcBorders>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机械企业</w:t>
            </w:r>
          </w:p>
        </w:tc>
        <w:tc>
          <w:tcPr>
            <w:tcW w:w="1283" w:type="dxa"/>
            <w:tcBorders>
              <w:bottom w:val="single" w:color="auto" w:sz="4" w:space="0"/>
            </w:tcBorders>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一般</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检查事项</w:t>
            </w:r>
          </w:p>
        </w:tc>
        <w:tc>
          <w:tcPr>
            <w:tcW w:w="1267" w:type="dxa"/>
            <w:tcBorders>
              <w:bottom w:val="single" w:color="auto" w:sz="4" w:space="0"/>
            </w:tcBorders>
            <w:vAlign w:val="center"/>
          </w:tcPr>
          <w:p>
            <w:pPr>
              <w:kinsoku w:val="0"/>
              <w:overflowPunct w:val="0"/>
              <w:autoSpaceDE w:val="0"/>
              <w:autoSpaceDN w:val="0"/>
              <w:adjustRightInd w:val="0"/>
              <w:snapToGrid w:val="0"/>
              <w:spacing w:line="340" w:lineRule="exact"/>
              <w:rPr>
                <w:rFonts w:ascii="仿宋_GB2312" w:hAnsi="仿宋" w:eastAsia="仿宋_GB2312"/>
                <w:color w:val="000000"/>
                <w:spacing w:val="-20"/>
                <w:sz w:val="24"/>
                <w:szCs w:val="24"/>
              </w:rPr>
            </w:pPr>
            <w:r>
              <w:rPr>
                <w:rFonts w:hint="eastAsia" w:ascii="仿宋_GB2312" w:hAnsi="黑体" w:eastAsia="仿宋_GB2312" w:cs="仿宋_GB2312"/>
                <w:color w:val="000000"/>
                <w:spacing w:val="-20"/>
                <w:kern w:val="0"/>
                <w:sz w:val="24"/>
                <w:szCs w:val="24"/>
              </w:rPr>
              <w:t>书面检查、</w:t>
            </w:r>
            <w:r>
              <w:rPr>
                <w:rFonts w:hint="eastAsia" w:ascii="仿宋_GB2312" w:eastAsia="仿宋_GB2312" w:cs="仿宋_GB2312"/>
                <w:color w:val="000000"/>
                <w:spacing w:val="-20"/>
                <w:sz w:val="24"/>
                <w:szCs w:val="24"/>
              </w:rPr>
              <w:t>实地核查</w:t>
            </w:r>
            <w:r>
              <w:rPr>
                <w:rFonts w:hint="eastAsia" w:ascii="仿宋_GB2312" w:hAnsi="黑体" w:eastAsia="仿宋_GB2312" w:cs="仿宋_GB2312"/>
                <w:color w:val="000000"/>
                <w:spacing w:val="-20"/>
                <w:kern w:val="0"/>
                <w:sz w:val="24"/>
                <w:szCs w:val="24"/>
              </w:rPr>
              <w:t>、网络监测</w:t>
            </w:r>
          </w:p>
        </w:tc>
        <w:tc>
          <w:tcPr>
            <w:tcW w:w="4407" w:type="dxa"/>
            <w:vAlign w:val="center"/>
          </w:tcPr>
          <w:p>
            <w:pPr>
              <w:kinsoku w:val="0"/>
              <w:overflowPunct w:val="0"/>
              <w:autoSpaceDE w:val="0"/>
              <w:autoSpaceDN w:val="0"/>
              <w:adjustRightInd w:val="0"/>
              <w:snapToGrid w:val="0"/>
              <w:spacing w:line="280" w:lineRule="exact"/>
              <w:rPr>
                <w:rFonts w:ascii="仿宋_GB2312" w:hAnsi="仿宋" w:eastAsia="仿宋_GB2312" w:cs="仿宋_GB2312"/>
                <w:color w:val="000000"/>
                <w:spacing w:val="-34"/>
                <w:sz w:val="24"/>
                <w:szCs w:val="24"/>
              </w:rPr>
            </w:pPr>
            <w:r>
              <w:rPr>
                <w:rFonts w:hint="eastAsia" w:ascii="仿宋_GB2312" w:hAnsi="仿宋" w:eastAsia="仿宋_GB2312" w:cs="仿宋_GB2312"/>
                <w:color w:val="000000"/>
                <w:spacing w:val="-34"/>
                <w:sz w:val="24"/>
                <w:szCs w:val="24"/>
              </w:rPr>
              <w:t>《电镀生产装置安全技术件》（</w:t>
            </w:r>
            <w:r>
              <w:rPr>
                <w:rFonts w:ascii="仿宋_GB2312" w:hAnsi="仿宋" w:eastAsia="仿宋_GB2312" w:cs="仿宋_GB2312"/>
                <w:color w:val="000000"/>
                <w:spacing w:val="-34"/>
                <w:sz w:val="24"/>
                <w:szCs w:val="24"/>
              </w:rPr>
              <w:t>AQ 5203-2008</w:t>
            </w:r>
            <w:r>
              <w:rPr>
                <w:rFonts w:hint="eastAsia" w:ascii="仿宋_GB2312" w:hAnsi="仿宋" w:eastAsia="仿宋_GB2312" w:cs="仿宋_GB2312"/>
                <w:color w:val="000000"/>
                <w:spacing w:val="-34"/>
                <w:sz w:val="24"/>
                <w:szCs w:val="24"/>
              </w:rPr>
              <w:t>）</w:t>
            </w:r>
            <w:r>
              <w:rPr>
                <w:rFonts w:ascii="仿宋_GB2312" w:hAnsi="仿宋" w:eastAsia="仿宋_GB2312" w:cs="仿宋_GB2312"/>
                <w:color w:val="000000"/>
                <w:spacing w:val="-34"/>
                <w:sz w:val="24"/>
                <w:szCs w:val="24"/>
              </w:rPr>
              <w:t>5.7</w:t>
            </w:r>
            <w:r>
              <w:rPr>
                <w:rFonts w:hint="eastAsia" w:ascii="仿宋_GB2312" w:hAnsi="仿宋" w:eastAsia="仿宋_GB2312" w:cs="仿宋_GB2312"/>
                <w:color w:val="000000"/>
                <w:spacing w:val="-34"/>
                <w:sz w:val="24"/>
                <w:szCs w:val="24"/>
              </w:rPr>
              <w:t>《涂装作业安全规程</w:t>
            </w:r>
            <w:r>
              <w:rPr>
                <w:rFonts w:ascii="仿宋_GB2312" w:hAnsi="仿宋" w:eastAsia="仿宋_GB2312" w:cs="仿宋_GB2312"/>
                <w:color w:val="000000"/>
                <w:spacing w:val="-34"/>
                <w:sz w:val="24"/>
                <w:szCs w:val="24"/>
              </w:rPr>
              <w:t xml:space="preserve"> </w:t>
            </w:r>
            <w:r>
              <w:rPr>
                <w:rFonts w:hint="eastAsia" w:ascii="仿宋_GB2312" w:hAnsi="仿宋" w:eastAsia="仿宋_GB2312" w:cs="仿宋_GB2312"/>
                <w:color w:val="000000"/>
                <w:spacing w:val="-34"/>
                <w:sz w:val="24"/>
                <w:szCs w:val="24"/>
              </w:rPr>
              <w:t>安全管理通则》（</w:t>
            </w:r>
            <w:r>
              <w:rPr>
                <w:rFonts w:ascii="仿宋_GB2312" w:hAnsi="仿宋" w:eastAsia="仿宋_GB2312" w:cs="仿宋_GB2312"/>
                <w:color w:val="000000"/>
                <w:spacing w:val="-34"/>
                <w:sz w:val="24"/>
                <w:szCs w:val="24"/>
              </w:rPr>
              <w:t>GB 7691-2003</w:t>
            </w:r>
            <w:r>
              <w:rPr>
                <w:rFonts w:hint="eastAsia" w:ascii="仿宋_GB2312" w:hAnsi="仿宋" w:eastAsia="仿宋_GB2312" w:cs="仿宋_GB2312"/>
                <w:color w:val="000000"/>
                <w:spacing w:val="-34"/>
                <w:sz w:val="24"/>
                <w:szCs w:val="24"/>
              </w:rPr>
              <w:t>）第</w:t>
            </w:r>
            <w:r>
              <w:rPr>
                <w:rFonts w:ascii="仿宋_GB2312" w:hAnsi="仿宋" w:eastAsia="仿宋_GB2312" w:cs="仿宋_GB2312"/>
                <w:color w:val="000000"/>
                <w:spacing w:val="-34"/>
                <w:sz w:val="24"/>
                <w:szCs w:val="24"/>
              </w:rPr>
              <w:t>9.1</w:t>
            </w:r>
            <w:r>
              <w:rPr>
                <w:rFonts w:hint="eastAsia" w:ascii="仿宋_GB2312" w:hAnsi="仿宋" w:eastAsia="仿宋_GB2312" w:cs="仿宋_GB2312"/>
                <w:color w:val="000000"/>
                <w:spacing w:val="-34"/>
                <w:sz w:val="24"/>
                <w:szCs w:val="24"/>
              </w:rPr>
              <w:t>、</w:t>
            </w:r>
            <w:r>
              <w:rPr>
                <w:rFonts w:ascii="仿宋_GB2312" w:hAnsi="仿宋" w:eastAsia="仿宋_GB2312" w:cs="仿宋_GB2312"/>
                <w:color w:val="000000"/>
                <w:spacing w:val="-34"/>
                <w:sz w:val="24"/>
                <w:szCs w:val="24"/>
              </w:rPr>
              <w:t>9.2</w:t>
            </w:r>
            <w:r>
              <w:rPr>
                <w:rFonts w:hint="eastAsia" w:ascii="仿宋_GB2312" w:hAnsi="仿宋" w:eastAsia="仿宋_GB2312" w:cs="仿宋_GB2312"/>
                <w:color w:val="000000"/>
                <w:spacing w:val="-34"/>
                <w:sz w:val="24"/>
                <w:szCs w:val="24"/>
              </w:rPr>
              <w:t>、</w:t>
            </w:r>
            <w:r>
              <w:rPr>
                <w:rFonts w:ascii="仿宋_GB2312" w:hAnsi="仿宋" w:eastAsia="仿宋_GB2312" w:cs="仿宋_GB2312"/>
                <w:color w:val="000000"/>
                <w:spacing w:val="-34"/>
                <w:sz w:val="24"/>
                <w:szCs w:val="24"/>
              </w:rPr>
              <w:t>6.3</w:t>
            </w:r>
            <w:r>
              <w:rPr>
                <w:rFonts w:hint="eastAsia" w:ascii="仿宋_GB2312" w:hAnsi="仿宋" w:eastAsia="仿宋_GB2312" w:cs="仿宋_GB2312"/>
                <w:color w:val="000000"/>
                <w:spacing w:val="-34"/>
                <w:sz w:val="24"/>
                <w:szCs w:val="24"/>
              </w:rPr>
              <w:t>；《涂装作业安全规程</w:t>
            </w:r>
            <w:r>
              <w:rPr>
                <w:rFonts w:ascii="仿宋_GB2312" w:hAnsi="仿宋" w:eastAsia="仿宋_GB2312" w:cs="仿宋_GB2312"/>
                <w:color w:val="000000"/>
                <w:spacing w:val="-34"/>
                <w:sz w:val="24"/>
                <w:szCs w:val="24"/>
              </w:rPr>
              <w:t xml:space="preserve"> </w:t>
            </w:r>
            <w:r>
              <w:rPr>
                <w:rFonts w:hint="eastAsia" w:ascii="仿宋_GB2312" w:hAnsi="仿宋" w:eastAsia="仿宋_GB2312" w:cs="仿宋_GB2312"/>
                <w:color w:val="000000"/>
                <w:spacing w:val="-34"/>
                <w:sz w:val="24"/>
                <w:szCs w:val="24"/>
              </w:rPr>
              <w:t>涂漆工艺安全及其通风净化》（</w:t>
            </w:r>
            <w:r>
              <w:rPr>
                <w:rFonts w:ascii="仿宋_GB2312" w:hAnsi="仿宋" w:eastAsia="仿宋_GB2312" w:cs="仿宋_GB2312"/>
                <w:color w:val="000000"/>
                <w:spacing w:val="-34"/>
                <w:sz w:val="24"/>
                <w:szCs w:val="24"/>
              </w:rPr>
              <w:t>GB 6514-2008</w:t>
            </w:r>
            <w:r>
              <w:rPr>
                <w:rFonts w:hint="eastAsia" w:ascii="仿宋_GB2312" w:hAnsi="仿宋" w:eastAsia="仿宋_GB2312" w:cs="仿宋_GB2312"/>
                <w:color w:val="000000"/>
                <w:spacing w:val="-34"/>
                <w:sz w:val="24"/>
                <w:szCs w:val="24"/>
              </w:rPr>
              <w:t>）</w:t>
            </w:r>
            <w:r>
              <w:rPr>
                <w:rFonts w:ascii="仿宋_GB2312" w:hAnsi="仿宋" w:eastAsia="仿宋_GB2312" w:cs="仿宋_GB2312"/>
                <w:color w:val="000000"/>
                <w:spacing w:val="-34"/>
                <w:sz w:val="24"/>
                <w:szCs w:val="24"/>
              </w:rPr>
              <w:t>5.1.3.1</w:t>
            </w:r>
            <w:r>
              <w:rPr>
                <w:rFonts w:hint="eastAsia" w:ascii="仿宋_GB2312" w:hAnsi="仿宋" w:eastAsia="仿宋_GB2312" w:cs="仿宋_GB2312"/>
                <w:color w:val="000000"/>
                <w:spacing w:val="-34"/>
                <w:sz w:val="24"/>
                <w:szCs w:val="24"/>
              </w:rPr>
              <w:t>、</w:t>
            </w:r>
            <w:r>
              <w:rPr>
                <w:rFonts w:ascii="仿宋_GB2312" w:hAnsi="仿宋" w:eastAsia="仿宋_GB2312" w:cs="仿宋_GB2312"/>
                <w:color w:val="000000"/>
                <w:spacing w:val="-34"/>
                <w:sz w:val="24"/>
                <w:szCs w:val="24"/>
              </w:rPr>
              <w:t>5.1.3.2</w:t>
            </w:r>
            <w:r>
              <w:rPr>
                <w:rFonts w:hint="eastAsia" w:ascii="仿宋_GB2312" w:hAnsi="仿宋" w:eastAsia="仿宋_GB2312" w:cs="仿宋_GB2312"/>
                <w:color w:val="000000"/>
                <w:spacing w:val="-34"/>
                <w:sz w:val="24"/>
                <w:szCs w:val="24"/>
              </w:rPr>
              <w:t>、</w:t>
            </w:r>
            <w:r>
              <w:rPr>
                <w:rFonts w:ascii="仿宋_GB2312" w:hAnsi="仿宋" w:eastAsia="仿宋_GB2312" w:cs="仿宋_GB2312"/>
                <w:color w:val="000000"/>
                <w:spacing w:val="-34"/>
                <w:sz w:val="24"/>
                <w:szCs w:val="24"/>
              </w:rPr>
              <w:t>5.1.3.3</w:t>
            </w:r>
            <w:r>
              <w:rPr>
                <w:rFonts w:hint="eastAsia" w:ascii="仿宋_GB2312" w:hAnsi="仿宋" w:eastAsia="仿宋_GB2312" w:cs="仿宋_GB2312"/>
                <w:color w:val="000000"/>
                <w:spacing w:val="-34"/>
                <w:sz w:val="24"/>
                <w:szCs w:val="24"/>
              </w:rPr>
              <w:t>、</w:t>
            </w:r>
            <w:r>
              <w:rPr>
                <w:rFonts w:ascii="仿宋_GB2312" w:hAnsi="仿宋" w:eastAsia="仿宋_GB2312" w:cs="仿宋_GB2312"/>
                <w:color w:val="000000"/>
                <w:spacing w:val="-34"/>
                <w:sz w:val="24"/>
                <w:szCs w:val="24"/>
              </w:rPr>
              <w:t>5.11.1</w:t>
            </w:r>
            <w:r>
              <w:rPr>
                <w:rFonts w:hint="eastAsia" w:ascii="仿宋_GB2312" w:hAnsi="仿宋" w:eastAsia="仿宋_GB2312" w:cs="仿宋_GB2312"/>
                <w:color w:val="000000"/>
                <w:spacing w:val="-34"/>
                <w:sz w:val="24"/>
                <w:szCs w:val="24"/>
              </w:rPr>
              <w:t>《涂装作业安全规程</w:t>
            </w:r>
            <w:r>
              <w:rPr>
                <w:rFonts w:ascii="仿宋_GB2312" w:hAnsi="仿宋" w:eastAsia="仿宋_GB2312" w:cs="仿宋_GB2312"/>
                <w:color w:val="000000"/>
                <w:spacing w:val="-34"/>
                <w:sz w:val="24"/>
                <w:szCs w:val="24"/>
              </w:rPr>
              <w:t xml:space="preserve"> </w:t>
            </w:r>
            <w:r>
              <w:rPr>
                <w:rFonts w:hint="eastAsia" w:ascii="仿宋_GB2312" w:hAnsi="仿宋" w:eastAsia="仿宋_GB2312" w:cs="仿宋_GB2312"/>
                <w:color w:val="000000"/>
                <w:spacing w:val="-34"/>
                <w:sz w:val="24"/>
                <w:szCs w:val="24"/>
              </w:rPr>
              <w:t>涂层烘干室</w:t>
            </w:r>
            <w:r>
              <w:rPr>
                <w:rFonts w:ascii="仿宋_GB2312" w:hAnsi="仿宋" w:eastAsia="仿宋_GB2312" w:cs="仿宋_GB2312"/>
                <w:color w:val="000000"/>
                <w:spacing w:val="-34"/>
                <w:sz w:val="24"/>
                <w:szCs w:val="24"/>
              </w:rPr>
              <w:t xml:space="preserve"> </w:t>
            </w:r>
            <w:r>
              <w:rPr>
                <w:rFonts w:hint="eastAsia" w:ascii="仿宋_GB2312" w:hAnsi="仿宋" w:eastAsia="仿宋_GB2312" w:cs="仿宋_GB2312"/>
                <w:color w:val="000000"/>
                <w:spacing w:val="-34"/>
                <w:sz w:val="24"/>
                <w:szCs w:val="24"/>
              </w:rPr>
              <w:t>安全技术规定》（</w:t>
            </w:r>
            <w:r>
              <w:rPr>
                <w:rFonts w:ascii="仿宋_GB2312" w:hAnsi="仿宋" w:eastAsia="仿宋_GB2312" w:cs="仿宋_GB2312"/>
                <w:color w:val="000000"/>
                <w:spacing w:val="-34"/>
                <w:sz w:val="24"/>
                <w:szCs w:val="24"/>
              </w:rPr>
              <w:t>GB14443-2007</w:t>
            </w:r>
            <w:r>
              <w:rPr>
                <w:rFonts w:hint="eastAsia" w:ascii="仿宋_GB2312" w:hAnsi="仿宋" w:eastAsia="仿宋_GB2312" w:cs="仿宋_GB2312"/>
                <w:color w:val="000000"/>
                <w:spacing w:val="-34"/>
                <w:sz w:val="24"/>
                <w:szCs w:val="24"/>
              </w:rPr>
              <w:t>）</w:t>
            </w:r>
            <w:r>
              <w:rPr>
                <w:rFonts w:ascii="仿宋_GB2312" w:hAnsi="仿宋" w:eastAsia="仿宋_GB2312" w:cs="仿宋_GB2312"/>
                <w:color w:val="000000"/>
                <w:spacing w:val="-34"/>
                <w:sz w:val="24"/>
                <w:szCs w:val="24"/>
              </w:rPr>
              <w:t>9.6</w:t>
            </w:r>
            <w:r>
              <w:rPr>
                <w:rFonts w:hint="eastAsia" w:ascii="仿宋_GB2312" w:hAnsi="仿宋" w:eastAsia="仿宋_GB2312" w:cs="仿宋_GB2312"/>
                <w:color w:val="000000"/>
                <w:spacing w:val="-34"/>
                <w:sz w:val="24"/>
                <w:szCs w:val="24"/>
              </w:rPr>
              <w:t>《涂装作业安全规程</w:t>
            </w:r>
            <w:r>
              <w:rPr>
                <w:rFonts w:ascii="仿宋_GB2312" w:hAnsi="仿宋" w:eastAsia="仿宋_GB2312" w:cs="仿宋_GB2312"/>
                <w:color w:val="000000"/>
                <w:spacing w:val="-34"/>
                <w:sz w:val="24"/>
                <w:szCs w:val="24"/>
              </w:rPr>
              <w:t xml:space="preserve"> </w:t>
            </w:r>
            <w:r>
              <w:rPr>
                <w:rFonts w:hint="eastAsia" w:ascii="仿宋_GB2312" w:hAnsi="仿宋" w:eastAsia="仿宋_GB2312" w:cs="仿宋_GB2312"/>
                <w:color w:val="000000"/>
                <w:spacing w:val="-34"/>
                <w:sz w:val="24"/>
                <w:szCs w:val="24"/>
              </w:rPr>
              <w:t>安全管理通则》（</w:t>
            </w:r>
            <w:r>
              <w:rPr>
                <w:rFonts w:ascii="仿宋_GB2312" w:hAnsi="仿宋" w:eastAsia="仿宋_GB2312" w:cs="仿宋_GB2312"/>
                <w:color w:val="000000"/>
                <w:spacing w:val="-34"/>
                <w:sz w:val="24"/>
                <w:szCs w:val="24"/>
              </w:rPr>
              <w:t>GB 7691-2003</w:t>
            </w:r>
            <w:r>
              <w:rPr>
                <w:rFonts w:hint="eastAsia" w:ascii="仿宋_GB2312" w:hAnsi="仿宋" w:eastAsia="仿宋_GB2312" w:cs="仿宋_GB2312"/>
                <w:color w:val="000000"/>
                <w:spacing w:val="-34"/>
                <w:sz w:val="24"/>
                <w:szCs w:val="24"/>
              </w:rPr>
              <w:t>）</w:t>
            </w:r>
            <w:r>
              <w:rPr>
                <w:rFonts w:ascii="仿宋_GB2312" w:hAnsi="仿宋" w:eastAsia="仿宋_GB2312" w:cs="仿宋_GB2312"/>
                <w:color w:val="000000"/>
                <w:spacing w:val="-34"/>
                <w:sz w:val="24"/>
                <w:szCs w:val="24"/>
              </w:rPr>
              <w:t>9.6</w:t>
            </w:r>
            <w:r>
              <w:rPr>
                <w:rFonts w:hint="eastAsia" w:ascii="仿宋_GB2312" w:hAnsi="仿宋" w:eastAsia="仿宋_GB2312" w:cs="仿宋_GB2312"/>
                <w:color w:val="000000"/>
                <w:spacing w:val="-34"/>
                <w:sz w:val="24"/>
                <w:szCs w:val="24"/>
              </w:rPr>
              <w:t>；《涂装作业安全规程</w:t>
            </w:r>
            <w:r>
              <w:rPr>
                <w:rFonts w:ascii="仿宋_GB2312" w:hAnsi="仿宋" w:eastAsia="仿宋_GB2312" w:cs="仿宋_GB2312"/>
                <w:color w:val="000000"/>
                <w:spacing w:val="-34"/>
                <w:sz w:val="24"/>
                <w:szCs w:val="24"/>
              </w:rPr>
              <w:t xml:space="preserve"> </w:t>
            </w:r>
            <w:r>
              <w:rPr>
                <w:rFonts w:hint="eastAsia" w:ascii="仿宋_GB2312" w:hAnsi="仿宋" w:eastAsia="仿宋_GB2312" w:cs="仿宋_GB2312"/>
                <w:color w:val="000000"/>
                <w:spacing w:val="-34"/>
                <w:sz w:val="24"/>
                <w:szCs w:val="24"/>
              </w:rPr>
              <w:t>涂漆前处理工艺安全及其通风净化》（</w:t>
            </w:r>
            <w:r>
              <w:rPr>
                <w:rFonts w:ascii="仿宋_GB2312" w:hAnsi="仿宋" w:eastAsia="仿宋_GB2312" w:cs="仿宋_GB2312"/>
                <w:color w:val="000000"/>
                <w:spacing w:val="-34"/>
                <w:sz w:val="24"/>
                <w:szCs w:val="24"/>
              </w:rPr>
              <w:t>GB 7692-2012</w:t>
            </w:r>
            <w:r>
              <w:rPr>
                <w:rFonts w:hint="eastAsia" w:ascii="仿宋_GB2312" w:hAnsi="仿宋" w:eastAsia="仿宋_GB2312" w:cs="仿宋_GB2312"/>
                <w:color w:val="000000"/>
                <w:spacing w:val="-34"/>
                <w:sz w:val="24"/>
                <w:szCs w:val="24"/>
              </w:rPr>
              <w:t>）</w:t>
            </w:r>
            <w:r>
              <w:rPr>
                <w:rFonts w:ascii="仿宋_GB2312" w:hAnsi="仿宋" w:eastAsia="仿宋_GB2312" w:cs="仿宋_GB2312"/>
                <w:color w:val="000000"/>
                <w:spacing w:val="-34"/>
                <w:sz w:val="24"/>
                <w:szCs w:val="24"/>
              </w:rPr>
              <w:t>5.1.16</w:t>
            </w:r>
            <w:r>
              <w:rPr>
                <w:rFonts w:hint="eastAsia" w:ascii="仿宋_GB2312" w:hAnsi="仿宋" w:eastAsia="仿宋_GB2312" w:cs="仿宋_GB2312"/>
                <w:color w:val="000000"/>
                <w:spacing w:val="-34"/>
                <w:sz w:val="24"/>
                <w:szCs w:val="24"/>
              </w:rPr>
              <w:t>、</w:t>
            </w:r>
            <w:r>
              <w:rPr>
                <w:rFonts w:ascii="仿宋_GB2312" w:hAnsi="仿宋" w:eastAsia="仿宋_GB2312" w:cs="仿宋_GB2312"/>
                <w:color w:val="000000"/>
                <w:spacing w:val="-34"/>
                <w:sz w:val="24"/>
                <w:szCs w:val="24"/>
              </w:rPr>
              <w:t>5.1.25</w:t>
            </w:r>
            <w:r>
              <w:rPr>
                <w:rFonts w:hint="eastAsia" w:ascii="仿宋_GB2312" w:hAnsi="仿宋" w:eastAsia="仿宋_GB2312" w:cs="仿宋_GB2312"/>
                <w:color w:val="000000"/>
                <w:spacing w:val="-34"/>
                <w:sz w:val="24"/>
                <w:szCs w:val="24"/>
              </w:rPr>
              <w:t>《焊接与切割安全》（</w:t>
            </w:r>
            <w:r>
              <w:rPr>
                <w:rFonts w:ascii="仿宋_GB2312" w:hAnsi="仿宋" w:eastAsia="仿宋_GB2312" w:cs="仿宋_GB2312"/>
                <w:color w:val="000000"/>
                <w:spacing w:val="-34"/>
                <w:sz w:val="24"/>
                <w:szCs w:val="24"/>
              </w:rPr>
              <w:t>GB 9448-1999</w:t>
            </w:r>
            <w:r>
              <w:rPr>
                <w:rFonts w:hint="eastAsia" w:ascii="仿宋_GB2312" w:hAnsi="仿宋" w:eastAsia="仿宋_GB2312" w:cs="仿宋_GB2312"/>
                <w:color w:val="000000"/>
                <w:spacing w:val="-34"/>
                <w:sz w:val="24"/>
                <w:szCs w:val="24"/>
              </w:rPr>
              <w:t>）</w:t>
            </w:r>
            <w:r>
              <w:rPr>
                <w:rFonts w:ascii="仿宋_GB2312" w:hAnsi="仿宋" w:eastAsia="仿宋_GB2312" w:cs="仿宋_GB2312"/>
                <w:color w:val="000000"/>
                <w:spacing w:val="-34"/>
                <w:sz w:val="24"/>
                <w:szCs w:val="24"/>
              </w:rPr>
              <w:t>6.3</w:t>
            </w:r>
            <w:r>
              <w:rPr>
                <w:rFonts w:hint="eastAsia" w:ascii="仿宋_GB2312" w:hAnsi="仿宋" w:eastAsia="仿宋_GB2312" w:cs="仿宋_GB2312"/>
                <w:color w:val="000000"/>
                <w:spacing w:val="-34"/>
                <w:sz w:val="24"/>
                <w:szCs w:val="24"/>
              </w:rPr>
              <w:t>《冲压车间安全生产通则》（</w:t>
            </w:r>
            <w:r>
              <w:rPr>
                <w:rFonts w:ascii="仿宋_GB2312" w:hAnsi="仿宋" w:eastAsia="仿宋_GB2312" w:cs="仿宋_GB2312"/>
                <w:color w:val="000000"/>
                <w:spacing w:val="-34"/>
                <w:sz w:val="24"/>
                <w:szCs w:val="24"/>
              </w:rPr>
              <w:t>GB 8176-2012</w:t>
            </w:r>
            <w:r>
              <w:rPr>
                <w:rFonts w:hint="eastAsia" w:ascii="仿宋_GB2312" w:hAnsi="仿宋" w:eastAsia="仿宋_GB2312" w:cs="仿宋_GB2312"/>
                <w:color w:val="000000"/>
                <w:spacing w:val="-34"/>
                <w:sz w:val="24"/>
                <w:szCs w:val="24"/>
              </w:rPr>
              <w:t>）</w:t>
            </w:r>
            <w:r>
              <w:rPr>
                <w:rFonts w:ascii="仿宋_GB2312" w:hAnsi="仿宋" w:eastAsia="仿宋_GB2312" w:cs="仿宋_GB2312"/>
                <w:color w:val="000000"/>
                <w:spacing w:val="-34"/>
                <w:sz w:val="24"/>
                <w:szCs w:val="24"/>
              </w:rPr>
              <w:t>8.11</w:t>
            </w:r>
            <w:r>
              <w:rPr>
                <w:rFonts w:hint="eastAsia" w:ascii="仿宋_GB2312" w:hAnsi="仿宋" w:eastAsia="仿宋_GB2312" w:cs="仿宋_GB2312"/>
                <w:color w:val="000000"/>
                <w:spacing w:val="-34"/>
                <w:sz w:val="24"/>
                <w:szCs w:val="24"/>
              </w:rPr>
              <w:t>；《金属热处理生产过程安全、卫生要求》（</w:t>
            </w:r>
            <w:r>
              <w:rPr>
                <w:rFonts w:ascii="仿宋_GB2312" w:hAnsi="仿宋" w:eastAsia="仿宋_GB2312" w:cs="仿宋_GB2312"/>
                <w:color w:val="000000"/>
                <w:spacing w:val="-34"/>
                <w:sz w:val="24"/>
                <w:szCs w:val="24"/>
              </w:rPr>
              <w:t>GB 15735-2012</w:t>
            </w:r>
            <w:r>
              <w:rPr>
                <w:rFonts w:hint="eastAsia" w:ascii="仿宋_GB2312" w:hAnsi="仿宋" w:eastAsia="仿宋_GB2312" w:cs="仿宋_GB2312"/>
                <w:color w:val="000000"/>
                <w:spacing w:val="-34"/>
                <w:sz w:val="24"/>
                <w:szCs w:val="24"/>
              </w:rPr>
              <w:t>）</w:t>
            </w:r>
            <w:r>
              <w:rPr>
                <w:rFonts w:ascii="仿宋_GB2312" w:hAnsi="仿宋" w:eastAsia="仿宋_GB2312" w:cs="仿宋_GB2312"/>
                <w:color w:val="000000"/>
                <w:spacing w:val="-34"/>
                <w:sz w:val="24"/>
                <w:szCs w:val="24"/>
              </w:rPr>
              <w:t>9.7</w:t>
            </w:r>
            <w:r>
              <w:rPr>
                <w:rFonts w:hint="eastAsia" w:ascii="仿宋_GB2312" w:hAnsi="仿宋" w:eastAsia="仿宋_GB2312" w:cs="仿宋_GB2312"/>
                <w:color w:val="000000"/>
                <w:spacing w:val="-34"/>
                <w:sz w:val="24"/>
                <w:szCs w:val="24"/>
              </w:rPr>
              <w:t>；《木工（材）车间安全生产通则》（</w:t>
            </w:r>
            <w:r>
              <w:rPr>
                <w:rFonts w:ascii="仿宋_GB2312" w:hAnsi="仿宋" w:eastAsia="仿宋_GB2312" w:cs="仿宋_GB2312"/>
                <w:color w:val="000000"/>
                <w:spacing w:val="-34"/>
                <w:sz w:val="24"/>
                <w:szCs w:val="24"/>
              </w:rPr>
              <w:t>GB 15606-2008</w:t>
            </w:r>
            <w:r>
              <w:rPr>
                <w:rFonts w:hint="eastAsia" w:ascii="仿宋_GB2312" w:hAnsi="仿宋" w:eastAsia="仿宋_GB2312" w:cs="仿宋_GB2312"/>
                <w:color w:val="000000"/>
                <w:spacing w:val="-34"/>
                <w:sz w:val="24"/>
                <w:szCs w:val="24"/>
              </w:rPr>
              <w:t>）</w:t>
            </w:r>
            <w:r>
              <w:rPr>
                <w:rFonts w:ascii="仿宋_GB2312" w:hAnsi="仿宋" w:eastAsia="仿宋_GB2312" w:cs="仿宋_GB2312"/>
                <w:color w:val="000000"/>
                <w:spacing w:val="-34"/>
                <w:sz w:val="24"/>
                <w:szCs w:val="24"/>
              </w:rPr>
              <w:t>10.4</w:t>
            </w:r>
            <w:r>
              <w:rPr>
                <w:rFonts w:hint="eastAsia" w:ascii="仿宋_GB2312" w:hAnsi="仿宋" w:eastAsia="仿宋_GB2312" w:cs="仿宋_GB2312"/>
                <w:color w:val="000000"/>
                <w:spacing w:val="-34"/>
                <w:sz w:val="24"/>
                <w:szCs w:val="24"/>
              </w:rPr>
              <w:t>；《涂装作业安全规程</w:t>
            </w:r>
            <w:r>
              <w:rPr>
                <w:rFonts w:ascii="仿宋_GB2312" w:hAnsi="仿宋" w:eastAsia="仿宋_GB2312" w:cs="仿宋_GB2312"/>
                <w:color w:val="000000"/>
                <w:spacing w:val="-34"/>
                <w:sz w:val="24"/>
                <w:szCs w:val="24"/>
              </w:rPr>
              <w:t xml:space="preserve"> </w:t>
            </w:r>
            <w:r>
              <w:rPr>
                <w:rFonts w:hint="eastAsia" w:ascii="仿宋_GB2312" w:hAnsi="仿宋" w:eastAsia="仿宋_GB2312" w:cs="仿宋_GB2312"/>
                <w:color w:val="000000"/>
                <w:spacing w:val="-34"/>
                <w:sz w:val="24"/>
                <w:szCs w:val="24"/>
              </w:rPr>
              <w:t>安全管理通则》（</w:t>
            </w:r>
            <w:r>
              <w:rPr>
                <w:rFonts w:ascii="仿宋_GB2312" w:hAnsi="仿宋" w:eastAsia="仿宋_GB2312" w:cs="仿宋_GB2312"/>
                <w:color w:val="000000"/>
                <w:spacing w:val="-34"/>
                <w:sz w:val="24"/>
                <w:szCs w:val="24"/>
              </w:rPr>
              <w:t>GB 7691-2003</w:t>
            </w:r>
            <w:r>
              <w:rPr>
                <w:rFonts w:hint="eastAsia" w:ascii="仿宋_GB2312" w:hAnsi="仿宋" w:eastAsia="仿宋_GB2312" w:cs="仿宋_GB2312"/>
                <w:color w:val="000000"/>
                <w:spacing w:val="-34"/>
                <w:sz w:val="24"/>
                <w:szCs w:val="24"/>
              </w:rPr>
              <w:t>）</w:t>
            </w:r>
            <w:r>
              <w:rPr>
                <w:rFonts w:ascii="仿宋_GB2312" w:hAnsi="仿宋" w:eastAsia="仿宋_GB2312" w:cs="仿宋_GB2312"/>
                <w:color w:val="000000"/>
                <w:spacing w:val="-34"/>
                <w:sz w:val="24"/>
                <w:szCs w:val="24"/>
              </w:rPr>
              <w:t>13</w:t>
            </w:r>
          </w:p>
        </w:tc>
        <w:tc>
          <w:tcPr>
            <w:tcW w:w="1224"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应急</w:t>
            </w:r>
          </w:p>
          <w:p>
            <w:pPr>
              <w:jc w:val="center"/>
              <w:rPr>
                <w:rFonts w:ascii="宋体"/>
                <w:b/>
                <w:bCs/>
                <w:color w:val="000000"/>
                <w:sz w:val="24"/>
                <w:szCs w:val="24"/>
              </w:rPr>
            </w:pPr>
            <w:r>
              <w:rPr>
                <w:rFonts w:hint="eastAsia" w:ascii="仿宋_GB2312" w:hAnsi="仿宋" w:eastAsia="仿宋_GB2312" w:cs="仿宋_GB2312"/>
                <w:color w:val="000000"/>
                <w:spacing w:val="-20"/>
                <w:sz w:val="24"/>
                <w:szCs w:val="24"/>
              </w:rPr>
              <w:t>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6" w:hRule="atLeast"/>
        </w:trPr>
        <w:tc>
          <w:tcPr>
            <w:tcW w:w="702" w:type="dxa"/>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sz w:val="24"/>
                <w:szCs w:val="24"/>
                <w:lang w:val="en-US" w:eastAsia="zh-CN"/>
              </w:rPr>
            </w:pPr>
            <w:r>
              <w:rPr>
                <w:rFonts w:hint="eastAsia" w:ascii="仿宋_GB2312" w:hAnsi="仿宋" w:eastAsia="仿宋_GB2312"/>
                <w:color w:val="000000"/>
                <w:spacing w:val="-20"/>
                <w:sz w:val="24"/>
                <w:szCs w:val="24"/>
                <w:lang w:val="en-US" w:eastAsia="zh-CN"/>
              </w:rPr>
              <w:t>25</w:t>
            </w:r>
          </w:p>
        </w:tc>
        <w:tc>
          <w:tcPr>
            <w:tcW w:w="122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12"/>
                <w:sz w:val="24"/>
                <w:szCs w:val="24"/>
              </w:rPr>
            </w:pPr>
            <w:r>
              <w:rPr>
                <w:rFonts w:hint="eastAsia" w:ascii="仿宋_GB2312" w:hAnsi="仿宋" w:eastAsia="仿宋_GB2312" w:cs="仿宋_GB2312"/>
                <w:color w:val="000000"/>
                <w:spacing w:val="-12"/>
                <w:sz w:val="24"/>
                <w:szCs w:val="24"/>
              </w:rPr>
              <w:t>轻工企业检查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、较大危险因素辨识管控措施的落实情况；</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、烘制、油炸等高温设备安全保护措施的配备情况；</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、木糖醇生产加氢环节氢气罐防雷、防静电的措施；</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、植物油加工企业浸出车间的安全防护措施；</w:t>
            </w:r>
            <w:r>
              <w:rPr>
                <w:rFonts w:ascii="仿宋_GB2312" w:hAnsi="仿宋" w:eastAsia="仿宋_GB2312" w:cs="仿宋_GB2312"/>
                <w:color w:val="000000"/>
                <w:spacing w:val="-20"/>
                <w:sz w:val="24"/>
                <w:szCs w:val="24"/>
              </w:rPr>
              <w:t>5</w:t>
            </w:r>
            <w:r>
              <w:rPr>
                <w:rFonts w:hint="eastAsia" w:ascii="仿宋_GB2312" w:hAnsi="仿宋" w:eastAsia="仿宋_GB2312" w:cs="仿宋_GB2312"/>
                <w:color w:val="000000"/>
                <w:spacing w:val="-20"/>
                <w:sz w:val="24"/>
                <w:szCs w:val="24"/>
              </w:rPr>
              <w:t>、白酒储存勾兑场所乙醇浓度报警装置的设置情况</w:t>
            </w:r>
          </w:p>
        </w:tc>
        <w:tc>
          <w:tcPr>
            <w:tcW w:w="1283" w:type="dxa"/>
            <w:tcBorders>
              <w:top w:val="single" w:color="auto" w:sz="4" w:space="0"/>
            </w:tcBorders>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轻工企业</w:t>
            </w:r>
          </w:p>
        </w:tc>
        <w:tc>
          <w:tcPr>
            <w:tcW w:w="1283" w:type="dxa"/>
            <w:tcBorders>
              <w:top w:val="single" w:color="auto" w:sz="4" w:space="0"/>
            </w:tcBorders>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一般</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检查事项</w:t>
            </w:r>
          </w:p>
        </w:tc>
        <w:tc>
          <w:tcPr>
            <w:tcW w:w="1267" w:type="dxa"/>
            <w:tcBorders>
              <w:top w:val="single" w:color="auto" w:sz="4" w:space="0"/>
            </w:tcBorders>
            <w:vAlign w:val="center"/>
          </w:tcPr>
          <w:p>
            <w:pPr>
              <w:kinsoku w:val="0"/>
              <w:overflowPunct w:val="0"/>
              <w:autoSpaceDE w:val="0"/>
              <w:autoSpaceDN w:val="0"/>
              <w:adjustRightInd w:val="0"/>
              <w:snapToGrid w:val="0"/>
              <w:spacing w:line="340" w:lineRule="exact"/>
              <w:rPr>
                <w:rFonts w:ascii="仿宋_GB2312" w:hAnsi="仿宋" w:eastAsia="仿宋_GB2312" w:cs="Times New Roman"/>
                <w:color w:val="000000"/>
                <w:spacing w:val="-20"/>
                <w:kern w:val="2"/>
                <w:sz w:val="24"/>
                <w:szCs w:val="24"/>
                <w:lang w:val="en-US" w:eastAsia="zh-CN" w:bidi="ar-SA"/>
              </w:rPr>
            </w:pPr>
            <w:r>
              <w:rPr>
                <w:rFonts w:hint="eastAsia" w:ascii="仿宋_GB2312" w:hAnsi="黑体" w:eastAsia="仿宋_GB2312" w:cs="仿宋_GB2312"/>
                <w:color w:val="000000"/>
                <w:spacing w:val="-20"/>
                <w:kern w:val="0"/>
                <w:sz w:val="24"/>
                <w:szCs w:val="24"/>
              </w:rPr>
              <w:t>书面检查、</w:t>
            </w:r>
            <w:r>
              <w:rPr>
                <w:rFonts w:hint="eastAsia" w:ascii="仿宋_GB2312" w:eastAsia="仿宋_GB2312" w:cs="仿宋_GB2312"/>
                <w:color w:val="000000"/>
                <w:spacing w:val="-20"/>
                <w:sz w:val="24"/>
                <w:szCs w:val="24"/>
              </w:rPr>
              <w:t>实地核查</w:t>
            </w:r>
            <w:r>
              <w:rPr>
                <w:rFonts w:hint="eastAsia" w:ascii="仿宋_GB2312" w:hAnsi="黑体" w:eastAsia="仿宋_GB2312" w:cs="仿宋_GB2312"/>
                <w:color w:val="000000"/>
                <w:spacing w:val="-20"/>
                <w:kern w:val="0"/>
                <w:sz w:val="24"/>
                <w:szCs w:val="24"/>
              </w:rPr>
              <w:t>、网络监测</w:t>
            </w:r>
          </w:p>
        </w:tc>
        <w:tc>
          <w:tcPr>
            <w:tcW w:w="4407" w:type="dxa"/>
            <w:vAlign w:val="center"/>
          </w:tcPr>
          <w:p>
            <w:pPr>
              <w:kinsoku w:val="0"/>
              <w:overflowPunct w:val="0"/>
              <w:autoSpaceDE w:val="0"/>
              <w:autoSpaceDN w:val="0"/>
              <w:adjustRightInd w:val="0"/>
              <w:snapToGrid w:val="0"/>
              <w:spacing w:line="280" w:lineRule="exact"/>
              <w:rPr>
                <w:rFonts w:ascii="仿宋_GB2312" w:hAnsi="仿宋" w:eastAsia="仿宋_GB2312" w:cs="仿宋_GB2312"/>
                <w:color w:val="000000"/>
                <w:spacing w:val="-30"/>
                <w:sz w:val="24"/>
                <w:szCs w:val="24"/>
              </w:rPr>
            </w:pPr>
            <w:r>
              <w:rPr>
                <w:rFonts w:hint="eastAsia" w:ascii="仿宋_GB2312" w:hAnsi="仿宋" w:eastAsia="仿宋_GB2312" w:cs="仿宋_GB2312"/>
                <w:color w:val="000000"/>
                <w:spacing w:val="-30"/>
                <w:sz w:val="24"/>
                <w:szCs w:val="24"/>
              </w:rPr>
              <w:t>《安全生产法》第三十二条　生产经营单位应当在有较大危险因素的生产经营场所和有关设施、设备上，设置明显的安全警示标志。《食品生产企业安全生产监督管理暂行规定》</w:t>
            </w:r>
            <w:r>
              <w:rPr>
                <w:rFonts w:ascii="仿宋_GB2312" w:hAnsi="仿宋" w:eastAsia="仿宋_GB2312" w:cs="仿宋_GB2312"/>
                <w:color w:val="000000"/>
                <w:spacing w:val="-30"/>
                <w:sz w:val="24"/>
                <w:szCs w:val="24"/>
              </w:rPr>
              <w:t>(</w:t>
            </w:r>
            <w:r>
              <w:rPr>
                <w:rFonts w:hint="eastAsia" w:ascii="仿宋_GB2312" w:hAnsi="仿宋" w:eastAsia="仿宋_GB2312" w:cs="仿宋_GB2312"/>
                <w:color w:val="000000"/>
                <w:spacing w:val="-30"/>
                <w:sz w:val="24"/>
                <w:szCs w:val="24"/>
              </w:rPr>
              <w:t>国家安全监管总局令第</w:t>
            </w:r>
            <w:r>
              <w:rPr>
                <w:rFonts w:ascii="仿宋_GB2312" w:hAnsi="仿宋" w:eastAsia="仿宋_GB2312" w:cs="仿宋_GB2312"/>
                <w:color w:val="000000"/>
                <w:spacing w:val="-30"/>
                <w:sz w:val="24"/>
                <w:szCs w:val="24"/>
              </w:rPr>
              <w:t>66</w:t>
            </w:r>
            <w:r>
              <w:rPr>
                <w:rFonts w:hint="eastAsia" w:ascii="仿宋_GB2312" w:hAnsi="仿宋" w:eastAsia="仿宋_GB2312" w:cs="仿宋_GB2312"/>
                <w:color w:val="000000"/>
                <w:spacing w:val="-30"/>
                <w:sz w:val="24"/>
                <w:szCs w:val="24"/>
              </w:rPr>
              <w:t>号</w:t>
            </w:r>
            <w:r>
              <w:rPr>
                <w:rFonts w:ascii="仿宋_GB2312" w:hAnsi="仿宋" w:eastAsia="仿宋_GB2312" w:cs="仿宋_GB2312"/>
                <w:color w:val="000000"/>
                <w:spacing w:val="-30"/>
                <w:sz w:val="24"/>
                <w:szCs w:val="24"/>
              </w:rPr>
              <w:t>)</w:t>
            </w:r>
            <w:r>
              <w:rPr>
                <w:rFonts w:hint="eastAsia" w:ascii="仿宋_GB2312" w:hAnsi="仿宋" w:eastAsia="仿宋_GB2312" w:cs="仿宋_GB2312"/>
                <w:color w:val="000000"/>
                <w:spacing w:val="-30"/>
                <w:sz w:val="24"/>
                <w:szCs w:val="24"/>
              </w:rPr>
              <w:t>《建筑物防雷设计规范》</w:t>
            </w:r>
            <w:r>
              <w:rPr>
                <w:rFonts w:ascii="仿宋_GB2312" w:hAnsi="仿宋" w:eastAsia="仿宋_GB2312" w:cs="仿宋_GB2312"/>
                <w:color w:val="000000"/>
                <w:spacing w:val="-30"/>
                <w:sz w:val="24"/>
                <w:szCs w:val="24"/>
              </w:rPr>
              <w:t>GB 50057</w:t>
            </w:r>
            <w:r>
              <w:rPr>
                <w:rFonts w:hint="eastAsia" w:ascii="仿宋_GB2312" w:hAnsi="仿宋" w:eastAsia="仿宋_GB2312" w:cs="仿宋_GB2312"/>
                <w:color w:val="000000"/>
                <w:spacing w:val="-30"/>
                <w:sz w:val="24"/>
                <w:szCs w:val="24"/>
              </w:rPr>
              <w:t>、《爆炸和火灾危险环境电力装置设计规范》</w:t>
            </w:r>
            <w:r>
              <w:rPr>
                <w:rFonts w:ascii="仿宋_GB2312" w:hAnsi="仿宋" w:eastAsia="仿宋_GB2312" w:cs="仿宋_GB2312"/>
                <w:color w:val="000000"/>
                <w:spacing w:val="-30"/>
                <w:sz w:val="24"/>
                <w:szCs w:val="24"/>
              </w:rPr>
              <w:t>GB 50058</w:t>
            </w:r>
            <w:r>
              <w:rPr>
                <w:rFonts w:hint="eastAsia" w:ascii="仿宋_GB2312" w:hAnsi="仿宋" w:eastAsia="仿宋_GB2312" w:cs="仿宋_GB2312"/>
                <w:color w:val="000000"/>
                <w:spacing w:val="-30"/>
                <w:sz w:val="24"/>
                <w:szCs w:val="24"/>
              </w:rPr>
              <w:t>《浸出油工厂防火安全规范》（</w:t>
            </w:r>
            <w:r>
              <w:rPr>
                <w:rFonts w:ascii="仿宋_GB2312" w:hAnsi="仿宋" w:eastAsia="仿宋_GB2312" w:cs="仿宋_GB2312"/>
                <w:color w:val="000000"/>
                <w:spacing w:val="-30"/>
                <w:sz w:val="24"/>
                <w:szCs w:val="24"/>
              </w:rPr>
              <w:t>SJB 04-91</w:t>
            </w:r>
            <w:r>
              <w:rPr>
                <w:rFonts w:hint="eastAsia" w:ascii="仿宋_GB2312" w:hAnsi="仿宋" w:eastAsia="仿宋_GB2312" w:cs="仿宋_GB2312"/>
                <w:color w:val="000000"/>
                <w:spacing w:val="-30"/>
                <w:sz w:val="24"/>
                <w:szCs w:val="24"/>
              </w:rPr>
              <w:t>）</w:t>
            </w:r>
            <w:r>
              <w:rPr>
                <w:rFonts w:ascii="仿宋_GB2312" w:hAnsi="仿宋" w:eastAsia="仿宋_GB2312" w:cs="仿宋_GB2312"/>
                <w:color w:val="000000"/>
                <w:spacing w:val="-30"/>
                <w:sz w:val="24"/>
                <w:szCs w:val="24"/>
              </w:rPr>
              <w:t>3.0.8</w:t>
            </w:r>
            <w:r>
              <w:rPr>
                <w:rFonts w:hint="eastAsia" w:ascii="仿宋_GB2312" w:hAnsi="仿宋" w:eastAsia="仿宋_GB2312" w:cs="仿宋_GB2312"/>
                <w:color w:val="000000"/>
                <w:spacing w:val="-30"/>
                <w:sz w:val="24"/>
                <w:szCs w:val="24"/>
              </w:rPr>
              <w:t>、</w:t>
            </w:r>
            <w:r>
              <w:rPr>
                <w:rFonts w:ascii="仿宋_GB2312" w:hAnsi="仿宋" w:eastAsia="仿宋_GB2312" w:cs="仿宋_GB2312"/>
                <w:color w:val="000000"/>
                <w:spacing w:val="-30"/>
                <w:sz w:val="24"/>
                <w:szCs w:val="24"/>
              </w:rPr>
              <w:t>3.0.10</w:t>
            </w:r>
            <w:r>
              <w:rPr>
                <w:rFonts w:hint="eastAsia" w:ascii="仿宋_GB2312" w:hAnsi="仿宋" w:eastAsia="仿宋_GB2312" w:cs="仿宋_GB2312"/>
                <w:color w:val="000000"/>
                <w:spacing w:val="-30"/>
                <w:sz w:val="24"/>
                <w:szCs w:val="24"/>
              </w:rPr>
              <w:t>《酒厂设计防火规范》</w:t>
            </w:r>
            <w:r>
              <w:rPr>
                <w:rFonts w:ascii="仿宋_GB2312" w:hAnsi="仿宋" w:eastAsia="仿宋_GB2312" w:cs="仿宋_GB2312"/>
                <w:color w:val="000000"/>
                <w:spacing w:val="-30"/>
                <w:sz w:val="24"/>
                <w:szCs w:val="24"/>
              </w:rPr>
              <w:t>(GB50694-2011</w:t>
            </w:r>
            <w:r>
              <w:rPr>
                <w:rFonts w:hint="eastAsia" w:ascii="仿宋_GB2312" w:hAnsi="仿宋" w:eastAsia="仿宋_GB2312" w:cs="仿宋_GB2312"/>
                <w:color w:val="000000"/>
                <w:spacing w:val="-30"/>
                <w:sz w:val="24"/>
                <w:szCs w:val="24"/>
              </w:rPr>
              <w:t>）</w:t>
            </w:r>
            <w:r>
              <w:rPr>
                <w:rFonts w:ascii="仿宋_GB2312" w:hAnsi="仿宋" w:eastAsia="仿宋_GB2312" w:cs="仿宋_GB2312"/>
                <w:color w:val="000000"/>
                <w:spacing w:val="-30"/>
                <w:sz w:val="24"/>
                <w:szCs w:val="24"/>
              </w:rPr>
              <w:t>9.3.4</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sz w:val="24"/>
                <w:szCs w:val="24"/>
                <w:lang w:val="en-US" w:eastAsia="zh-CN"/>
              </w:rPr>
            </w:pPr>
            <w:r>
              <w:rPr>
                <w:rFonts w:hint="eastAsia" w:ascii="仿宋_GB2312" w:hAnsi="仿宋" w:eastAsia="仿宋_GB2312"/>
                <w:color w:val="000000"/>
                <w:spacing w:val="-20"/>
                <w:sz w:val="24"/>
                <w:szCs w:val="24"/>
                <w:lang w:val="en-US" w:eastAsia="zh-CN"/>
              </w:rPr>
              <w:t>26</w:t>
            </w:r>
          </w:p>
        </w:tc>
        <w:tc>
          <w:tcPr>
            <w:tcW w:w="122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12"/>
                <w:sz w:val="24"/>
                <w:szCs w:val="24"/>
              </w:rPr>
            </w:pPr>
            <w:r>
              <w:rPr>
                <w:rFonts w:hint="eastAsia" w:ascii="仿宋_GB2312" w:hAnsi="仿宋" w:eastAsia="仿宋_GB2312" w:cs="仿宋_GB2312"/>
                <w:color w:val="000000"/>
                <w:spacing w:val="-12"/>
                <w:sz w:val="24"/>
                <w:szCs w:val="24"/>
              </w:rPr>
              <w:t>轻工企业检查</w:t>
            </w:r>
          </w:p>
        </w:tc>
        <w:tc>
          <w:tcPr>
            <w:tcW w:w="3568" w:type="dxa"/>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、白酒储罐的防雷措施；</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、造纸企业液氯使用安全规程的落实情况；</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、日用玻璃、陶瓷、搪瓷制造企业燃气窑炉安全防护设备的设置情况；</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、电池化成区域电气设备应防爆。</w:t>
            </w:r>
          </w:p>
        </w:tc>
        <w:tc>
          <w:tcPr>
            <w:tcW w:w="1283" w:type="dxa"/>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轻工企业</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一般</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检查事项</w:t>
            </w:r>
          </w:p>
        </w:tc>
        <w:tc>
          <w:tcPr>
            <w:tcW w:w="1267" w:type="dxa"/>
            <w:vMerge w:val="restart"/>
            <w:vAlign w:val="center"/>
          </w:tcPr>
          <w:p>
            <w:pPr>
              <w:kinsoku w:val="0"/>
              <w:overflowPunct w:val="0"/>
              <w:autoSpaceDE w:val="0"/>
              <w:autoSpaceDN w:val="0"/>
              <w:adjustRightInd w:val="0"/>
              <w:snapToGrid w:val="0"/>
              <w:spacing w:line="340" w:lineRule="exact"/>
              <w:rPr>
                <w:rFonts w:ascii="仿宋_GB2312" w:hAnsi="仿宋" w:eastAsia="仿宋_GB2312"/>
                <w:color w:val="000000"/>
                <w:spacing w:val="-20"/>
                <w:sz w:val="24"/>
                <w:szCs w:val="24"/>
              </w:rPr>
            </w:pPr>
            <w:r>
              <w:rPr>
                <w:rFonts w:hint="eastAsia" w:ascii="仿宋_GB2312" w:hAnsi="黑体" w:eastAsia="仿宋_GB2312" w:cs="仿宋_GB2312"/>
                <w:color w:val="000000"/>
                <w:spacing w:val="-20"/>
                <w:kern w:val="0"/>
                <w:sz w:val="24"/>
                <w:szCs w:val="24"/>
              </w:rPr>
              <w:t>书面检查、</w:t>
            </w:r>
            <w:r>
              <w:rPr>
                <w:rFonts w:hint="eastAsia" w:ascii="仿宋_GB2312" w:eastAsia="仿宋_GB2312" w:cs="仿宋_GB2312"/>
                <w:color w:val="000000"/>
                <w:spacing w:val="-20"/>
                <w:sz w:val="24"/>
                <w:szCs w:val="24"/>
              </w:rPr>
              <w:t>实地核查</w:t>
            </w:r>
            <w:r>
              <w:rPr>
                <w:rFonts w:hint="eastAsia" w:ascii="仿宋_GB2312" w:hAnsi="黑体" w:eastAsia="仿宋_GB2312" w:cs="仿宋_GB2312"/>
                <w:color w:val="000000"/>
                <w:spacing w:val="-20"/>
                <w:kern w:val="0"/>
                <w:sz w:val="24"/>
                <w:szCs w:val="24"/>
              </w:rPr>
              <w:t>、网络监测</w:t>
            </w:r>
          </w:p>
        </w:tc>
        <w:tc>
          <w:tcPr>
            <w:tcW w:w="4407"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《酒厂设计防火规范》</w:t>
            </w:r>
            <w:r>
              <w:rPr>
                <w:rFonts w:ascii="仿宋_GB2312" w:hAnsi="仿宋" w:eastAsia="仿宋_GB2312" w:cs="仿宋_GB2312"/>
                <w:color w:val="000000"/>
                <w:spacing w:val="-20"/>
                <w:sz w:val="24"/>
                <w:szCs w:val="24"/>
              </w:rPr>
              <w:t>(GB50694-2011</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 xml:space="preserve">9.2.3 </w:t>
            </w:r>
            <w:r>
              <w:rPr>
                <w:rFonts w:hint="eastAsia" w:ascii="仿宋_GB2312" w:hAnsi="仿宋" w:eastAsia="仿宋_GB2312" w:cs="仿宋_GB2312"/>
                <w:color w:val="000000"/>
                <w:spacing w:val="-20"/>
                <w:sz w:val="24"/>
                <w:szCs w:val="24"/>
              </w:rPr>
              <w:t>，《易燃易爆罐区安全监控预警系统验收技术要求》（</w:t>
            </w:r>
            <w:r>
              <w:rPr>
                <w:rFonts w:ascii="仿宋_GB2312" w:hAnsi="仿宋" w:eastAsia="仿宋_GB2312" w:cs="仿宋_GB2312"/>
                <w:color w:val="000000"/>
                <w:spacing w:val="-20"/>
                <w:sz w:val="24"/>
                <w:szCs w:val="24"/>
              </w:rPr>
              <w:t>GB17681-1999</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7.4.1</w:t>
            </w:r>
            <w:r>
              <w:rPr>
                <w:rFonts w:hint="eastAsia" w:ascii="仿宋_GB2312" w:hAnsi="仿宋" w:eastAsia="仿宋_GB2312" w:cs="仿宋_GB2312"/>
                <w:color w:val="000000"/>
                <w:spacing w:val="-20"/>
                <w:sz w:val="24"/>
                <w:szCs w:val="24"/>
              </w:rPr>
              <w:t>和</w:t>
            </w:r>
            <w:r>
              <w:rPr>
                <w:rFonts w:ascii="仿宋_GB2312" w:hAnsi="仿宋" w:eastAsia="仿宋_GB2312" w:cs="仿宋_GB2312"/>
                <w:color w:val="000000"/>
                <w:spacing w:val="-20"/>
                <w:sz w:val="24"/>
                <w:szCs w:val="24"/>
              </w:rPr>
              <w:t>7.4.2</w:t>
            </w:r>
            <w:r>
              <w:rPr>
                <w:rFonts w:hint="eastAsia" w:ascii="仿宋_GB2312" w:hAnsi="仿宋" w:eastAsia="仿宋_GB2312" w:cs="仿宋_GB2312"/>
                <w:color w:val="000000"/>
                <w:spacing w:val="-20"/>
                <w:sz w:val="24"/>
                <w:szCs w:val="24"/>
              </w:rPr>
              <w:t>《氯气安全规程》（</w:t>
            </w:r>
            <w:r>
              <w:rPr>
                <w:rFonts w:ascii="仿宋_GB2312" w:hAnsi="仿宋" w:eastAsia="仿宋_GB2312" w:cs="仿宋_GB2312"/>
                <w:color w:val="000000"/>
                <w:spacing w:val="-20"/>
                <w:sz w:val="24"/>
                <w:szCs w:val="24"/>
              </w:rPr>
              <w:t>GB 11984-2008</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5.3.2</w:t>
            </w:r>
            <w:r>
              <w:rPr>
                <w:rFonts w:hint="eastAsia" w:ascii="仿宋_GB2312" w:hAnsi="仿宋" w:eastAsia="仿宋_GB2312" w:cs="仿宋_GB2312"/>
                <w:color w:val="000000"/>
                <w:spacing w:val="-20"/>
                <w:sz w:val="24"/>
                <w:szCs w:val="24"/>
              </w:rPr>
              <w:t>《工业企业煤气安全规程》（</w:t>
            </w:r>
            <w:r>
              <w:rPr>
                <w:rFonts w:ascii="仿宋_GB2312" w:hAnsi="仿宋" w:eastAsia="仿宋_GB2312" w:cs="仿宋_GB2312"/>
                <w:color w:val="000000"/>
                <w:spacing w:val="-20"/>
                <w:sz w:val="24"/>
                <w:szCs w:val="24"/>
              </w:rPr>
              <w:t>GB6222-2005</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4.10</w:t>
            </w:r>
            <w:r>
              <w:rPr>
                <w:rFonts w:hint="eastAsia" w:ascii="仿宋_GB2312" w:hAnsi="仿宋" w:eastAsia="仿宋_GB2312" w:cs="仿宋_GB2312"/>
                <w:color w:val="000000"/>
                <w:spacing w:val="-20"/>
                <w:sz w:val="24"/>
                <w:szCs w:val="24"/>
              </w:rPr>
              <w:t>《防止静电事故通用导则》（</w:t>
            </w:r>
            <w:r>
              <w:rPr>
                <w:rFonts w:ascii="仿宋_GB2312" w:hAnsi="仿宋" w:eastAsia="仿宋_GB2312" w:cs="仿宋_GB2312"/>
                <w:color w:val="000000"/>
                <w:spacing w:val="-20"/>
                <w:sz w:val="24"/>
                <w:szCs w:val="24"/>
              </w:rPr>
              <w:t>GB12158</w:t>
            </w:r>
            <w:r>
              <w:rPr>
                <w:rFonts w:hint="eastAsia" w:ascii="仿宋_GB2312" w:hAnsi="仿宋" w:eastAsia="仿宋_GB2312" w:cs="仿宋_GB2312"/>
                <w:color w:val="000000"/>
                <w:spacing w:val="-20"/>
                <w:sz w:val="24"/>
                <w:szCs w:val="24"/>
              </w:rPr>
              <w:t>），《爆炸性气体环境用电气设备第</w:t>
            </w: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部分</w:t>
            </w:r>
            <w:r>
              <w:rPr>
                <w:rFonts w:ascii="仿宋_GB2312" w:hAnsi="仿宋" w:eastAsia="仿宋_GB2312" w:cs="仿宋_GB2312"/>
                <w:color w:val="000000"/>
                <w:spacing w:val="-20"/>
                <w:sz w:val="24"/>
                <w:szCs w:val="24"/>
              </w:rPr>
              <w:t>:</w:t>
            </w:r>
            <w:r>
              <w:rPr>
                <w:rFonts w:hint="eastAsia" w:ascii="仿宋_GB2312" w:hAnsi="仿宋" w:eastAsia="仿宋_GB2312" w:cs="仿宋_GB2312"/>
                <w:color w:val="000000"/>
                <w:spacing w:val="-20"/>
                <w:sz w:val="24"/>
                <w:szCs w:val="24"/>
              </w:rPr>
              <w:t>通用要求》（</w:t>
            </w:r>
            <w:r>
              <w:rPr>
                <w:rFonts w:ascii="仿宋_GB2312" w:hAnsi="仿宋" w:eastAsia="仿宋_GB2312" w:cs="仿宋_GB2312"/>
                <w:color w:val="000000"/>
                <w:spacing w:val="-20"/>
                <w:sz w:val="24"/>
                <w:szCs w:val="24"/>
              </w:rPr>
              <w:t>GB3836.1-2000</w:t>
            </w:r>
            <w:r>
              <w:rPr>
                <w:rFonts w:hint="eastAsia" w:ascii="仿宋_GB2312" w:hAnsi="仿宋" w:eastAsia="仿宋_GB2312" w:cs="仿宋_GB2312"/>
                <w:color w:val="000000"/>
                <w:spacing w:val="-20"/>
                <w:sz w:val="24"/>
                <w:szCs w:val="24"/>
              </w:rPr>
              <w:t>）</w:t>
            </w:r>
          </w:p>
        </w:tc>
        <w:tc>
          <w:tcPr>
            <w:tcW w:w="1224"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应急</w:t>
            </w:r>
          </w:p>
          <w:p>
            <w:pPr>
              <w:jc w:val="center"/>
              <w:rPr>
                <w:rFonts w:ascii="宋体"/>
                <w:b/>
                <w:bCs/>
                <w:color w:val="000000"/>
                <w:sz w:val="24"/>
                <w:szCs w:val="24"/>
              </w:rPr>
            </w:pPr>
            <w:r>
              <w:rPr>
                <w:rFonts w:hint="eastAsia" w:ascii="仿宋_GB2312" w:hAnsi="仿宋" w:eastAsia="仿宋_GB2312" w:cs="仿宋_GB2312"/>
                <w:color w:val="000000"/>
                <w:spacing w:val="-20"/>
                <w:sz w:val="24"/>
                <w:szCs w:val="24"/>
              </w:rPr>
              <w:t>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sz w:val="24"/>
                <w:szCs w:val="24"/>
                <w:lang w:val="en-US" w:eastAsia="zh-CN"/>
              </w:rPr>
            </w:pPr>
            <w:r>
              <w:rPr>
                <w:rFonts w:hint="eastAsia" w:ascii="仿宋_GB2312" w:hAnsi="仿宋" w:eastAsia="仿宋_GB2312"/>
                <w:color w:val="000000"/>
                <w:spacing w:val="-20"/>
                <w:sz w:val="24"/>
                <w:szCs w:val="24"/>
                <w:lang w:val="en-US" w:eastAsia="zh-CN"/>
              </w:rPr>
              <w:t>27</w:t>
            </w:r>
          </w:p>
        </w:tc>
        <w:tc>
          <w:tcPr>
            <w:tcW w:w="122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纺织企业检查</w:t>
            </w:r>
          </w:p>
        </w:tc>
        <w:tc>
          <w:tcPr>
            <w:tcW w:w="3568" w:type="dxa"/>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、较大危险因素辨识管控措施的落实情况；</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、热定型设备的安全技术状况；</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、燃气贮罐、管道和汽化室的安全防护措施；</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、危险品贮存安全措施的落实情况</w:t>
            </w:r>
          </w:p>
        </w:tc>
        <w:tc>
          <w:tcPr>
            <w:tcW w:w="1283" w:type="dxa"/>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纺织企业</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40" w:lineRule="exact"/>
              <w:rPr>
                <w:rFonts w:ascii="仿宋_GB2312" w:hAnsi="仿宋"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280" w:lineRule="exact"/>
              <w:rPr>
                <w:rFonts w:ascii="仿宋_GB2312" w:hAnsi="仿宋" w:eastAsia="仿宋_GB2312" w:cs="仿宋_GB2312"/>
                <w:color w:val="000000"/>
                <w:spacing w:val="-20"/>
                <w:sz w:val="24"/>
                <w:szCs w:val="24"/>
              </w:rPr>
            </w:pPr>
            <w:r>
              <w:rPr>
                <w:rFonts w:hint="eastAsia" w:ascii="仿宋_GB2312" w:hAnsi="仿宋" w:eastAsia="仿宋_GB2312" w:cs="仿宋_GB2312"/>
                <w:color w:val="000000"/>
                <w:spacing w:val="-20"/>
                <w:sz w:val="24"/>
                <w:szCs w:val="24"/>
              </w:rPr>
              <w:t>《安全生产法》第三十二条　生产经营单位应当在有较大危险因素的生产经营场所和有关设施、设备上，设置明显的安全警示标志。《纺织工业企业安全管理规范》</w:t>
            </w:r>
            <w:r>
              <w:rPr>
                <w:rFonts w:ascii="仿宋_GB2312" w:hAnsi="仿宋" w:eastAsia="仿宋_GB2312" w:cs="仿宋_GB2312"/>
                <w:color w:val="000000"/>
                <w:spacing w:val="-20"/>
                <w:sz w:val="24"/>
                <w:szCs w:val="24"/>
              </w:rPr>
              <w:t>(AQ 7002-2007)11.2.2.4</w:t>
            </w:r>
          </w:p>
          <w:p>
            <w:pPr>
              <w:kinsoku w:val="0"/>
              <w:overflowPunct w:val="0"/>
              <w:autoSpaceDE w:val="0"/>
              <w:autoSpaceDN w:val="0"/>
              <w:adjustRightInd w:val="0"/>
              <w:snapToGrid w:val="0"/>
              <w:spacing w:line="280" w:lineRule="exact"/>
              <w:rPr>
                <w:rFonts w:ascii="仿宋_GB2312" w:hAnsi="仿宋" w:eastAsia="仿宋_GB2312" w:cs="仿宋_GB2312"/>
                <w:color w:val="000000"/>
                <w:spacing w:val="-20"/>
                <w:sz w:val="24"/>
                <w:szCs w:val="24"/>
              </w:rPr>
            </w:pPr>
            <w:r>
              <w:rPr>
                <w:rFonts w:hint="eastAsia" w:ascii="仿宋_GB2312" w:hAnsi="仿宋" w:eastAsia="仿宋_GB2312" w:cs="仿宋_GB2312"/>
                <w:color w:val="000000"/>
                <w:spacing w:val="-20"/>
                <w:sz w:val="24"/>
                <w:szCs w:val="24"/>
              </w:rPr>
              <w:t>《纺织工业企业安全管理规范》</w:t>
            </w:r>
            <w:r>
              <w:rPr>
                <w:rFonts w:ascii="仿宋_GB2312" w:hAnsi="仿宋" w:eastAsia="仿宋_GB2312" w:cs="仿宋_GB2312"/>
                <w:color w:val="000000"/>
                <w:spacing w:val="-20"/>
                <w:sz w:val="24"/>
                <w:szCs w:val="24"/>
              </w:rPr>
              <w:t>(AQ 7002-2007) 11.2.10.2</w:t>
            </w:r>
            <w:r>
              <w:rPr>
                <w:rFonts w:hint="eastAsia" w:ascii="仿宋_GB2312" w:hAnsi="仿宋" w:eastAsia="仿宋_GB2312" w:cs="仿宋_GB2312"/>
                <w:color w:val="000000"/>
                <w:spacing w:val="-20"/>
                <w:sz w:val="24"/>
                <w:szCs w:val="24"/>
              </w:rPr>
              <w:t>《纺织工业企业安全管理规范》</w:t>
            </w:r>
            <w:r>
              <w:rPr>
                <w:rFonts w:ascii="仿宋_GB2312" w:hAnsi="仿宋" w:eastAsia="仿宋_GB2312" w:cs="仿宋_GB2312"/>
                <w:color w:val="000000"/>
                <w:spacing w:val="-20"/>
                <w:sz w:val="24"/>
                <w:szCs w:val="24"/>
              </w:rPr>
              <w:t>(AQ 7002-2007)13.3.6</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0"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sz w:val="24"/>
                <w:szCs w:val="24"/>
                <w:lang w:val="en-US" w:eastAsia="zh-CN"/>
              </w:rPr>
            </w:pPr>
            <w:r>
              <w:rPr>
                <w:rFonts w:hint="eastAsia" w:ascii="仿宋_GB2312" w:hAnsi="仿宋" w:eastAsia="仿宋_GB2312"/>
                <w:color w:val="000000"/>
                <w:spacing w:val="-20"/>
                <w:sz w:val="24"/>
                <w:szCs w:val="24"/>
                <w:lang w:val="en-US" w:eastAsia="zh-CN"/>
              </w:rPr>
              <w:t>28</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4"/>
                <w:sz w:val="24"/>
                <w:szCs w:val="24"/>
              </w:rPr>
            </w:pPr>
            <w:r>
              <w:rPr>
                <w:rFonts w:hint="eastAsia" w:ascii="仿宋_GB2312" w:hAnsi="仿宋" w:eastAsia="仿宋_GB2312" w:cs="仿宋_GB2312"/>
                <w:color w:val="000000"/>
                <w:spacing w:val="-24"/>
                <w:sz w:val="24"/>
                <w:szCs w:val="24"/>
              </w:rPr>
              <w:t>非煤矿山企业检查</w:t>
            </w:r>
          </w:p>
        </w:tc>
        <w:tc>
          <w:tcPr>
            <w:tcW w:w="3568" w:type="dxa"/>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、基建改扩建矿山设计审查和预评价报告编制情况；</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、证照齐全情况；</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、安全管理机构设置、安全生产责任制建立和从业人员培训情况；</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、主要负责人、安全管理人员考核合格和特种作业人员持证上岗情况。</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非煤矿山企业</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40" w:lineRule="exact"/>
              <w:rPr>
                <w:rFonts w:ascii="仿宋_GB2312" w:hAnsi="仿宋"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《安全生产法》第二十一条、第二十四条、第二十五条、第二十七条、第二十九条、第三十条、《安全生产许可证条例》第二条　</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9"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4"/>
                <w:sz w:val="24"/>
                <w:szCs w:val="24"/>
              </w:rPr>
            </w:pPr>
          </w:p>
        </w:tc>
        <w:tc>
          <w:tcPr>
            <w:tcW w:w="3568" w:type="dxa"/>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、安全投入情况；</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、淘汰危及安全生产工艺、设备情况；</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、图纸真实性情况；</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、应急救援队伍建立、应急演练和应急装备、物资配备情况</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40" w:lineRule="exact"/>
              <w:rPr>
                <w:rFonts w:ascii="仿宋_GB2312" w:hAnsi="仿宋"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《安全生产法》第二十条、第三十五条、第七十八条；《金属非金属矿山安全规程》（</w:t>
            </w:r>
            <w:r>
              <w:rPr>
                <w:rFonts w:ascii="仿宋_GB2312" w:hAnsi="仿宋" w:eastAsia="仿宋_GB2312" w:cs="仿宋_GB2312"/>
                <w:color w:val="000000"/>
                <w:spacing w:val="-20"/>
                <w:sz w:val="24"/>
                <w:szCs w:val="24"/>
              </w:rPr>
              <w:t>GB16423-2006</w:t>
            </w:r>
            <w:r>
              <w:rPr>
                <w:rFonts w:hint="eastAsia" w:ascii="仿宋_GB2312" w:hAnsi="仿宋" w:eastAsia="仿宋_GB2312" w:cs="仿宋_GB2312"/>
                <w:color w:val="000000"/>
                <w:spacing w:val="-20"/>
                <w:sz w:val="24"/>
                <w:szCs w:val="24"/>
              </w:rPr>
              <w:t>）第</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章</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0" w:hRule="atLeast"/>
        </w:trPr>
        <w:tc>
          <w:tcPr>
            <w:tcW w:w="702" w:type="dxa"/>
            <w:vMerge w:val="restart"/>
            <w:vAlign w:val="center"/>
          </w:tcPr>
          <w:p>
            <w:pPr>
              <w:kinsoku w:val="0"/>
              <w:overflowPunct w:val="0"/>
              <w:autoSpaceDE w:val="0"/>
              <w:autoSpaceDN w:val="0"/>
              <w:adjustRightInd w:val="0"/>
              <w:snapToGrid w:val="0"/>
              <w:spacing w:line="300" w:lineRule="exact"/>
              <w:jc w:val="center"/>
              <w:rPr>
                <w:rFonts w:hint="default" w:ascii="仿宋_GB2312" w:hAnsi="仿宋" w:eastAsia="仿宋_GB2312"/>
                <w:color w:val="000000"/>
                <w:spacing w:val="-20"/>
                <w:sz w:val="24"/>
                <w:szCs w:val="24"/>
                <w:lang w:val="en-US" w:eastAsia="zh-CN"/>
              </w:rPr>
            </w:pPr>
            <w:r>
              <w:rPr>
                <w:rFonts w:hint="eastAsia" w:ascii="仿宋_GB2312" w:hAnsi="仿宋" w:eastAsia="仿宋_GB2312"/>
                <w:color w:val="000000"/>
                <w:spacing w:val="-20"/>
                <w:sz w:val="24"/>
                <w:szCs w:val="24"/>
                <w:lang w:val="en-US" w:eastAsia="zh-CN"/>
              </w:rPr>
              <w:t>29</w:t>
            </w:r>
          </w:p>
        </w:tc>
        <w:tc>
          <w:tcPr>
            <w:tcW w:w="1228" w:type="dxa"/>
            <w:vMerge w:val="restart"/>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16"/>
                <w:sz w:val="24"/>
                <w:szCs w:val="24"/>
              </w:rPr>
            </w:pPr>
            <w:r>
              <w:rPr>
                <w:rFonts w:hint="eastAsia" w:ascii="仿宋_GB2312" w:hAnsi="仿宋" w:eastAsia="仿宋_GB2312" w:cs="仿宋_GB2312"/>
                <w:color w:val="000000"/>
                <w:spacing w:val="-16"/>
                <w:sz w:val="24"/>
                <w:szCs w:val="24"/>
              </w:rPr>
              <w:t>地下开矿山检查</w:t>
            </w:r>
          </w:p>
        </w:tc>
        <w:tc>
          <w:tcPr>
            <w:tcW w:w="3568" w:type="dxa"/>
            <w:vAlign w:val="center"/>
          </w:tcPr>
          <w:p>
            <w:pPr>
              <w:numPr>
                <w:ilvl w:val="0"/>
                <w:numId w:val="1"/>
              </w:numPr>
              <w:kinsoku w:val="0"/>
              <w:overflowPunct w:val="0"/>
              <w:autoSpaceDE w:val="0"/>
              <w:autoSpaceDN w:val="0"/>
              <w:adjustRightInd w:val="0"/>
              <w:snapToGrid w:val="0"/>
              <w:spacing w:line="300" w:lineRule="exact"/>
              <w:rPr>
                <w:rFonts w:hint="eastAsia" w:ascii="仿宋_GB2312" w:hAnsi="仿宋" w:eastAsia="仿宋_GB2312" w:cs="仿宋_GB2312"/>
                <w:color w:val="000000"/>
                <w:spacing w:val="-12"/>
                <w:sz w:val="24"/>
                <w:szCs w:val="24"/>
              </w:rPr>
            </w:pPr>
            <w:r>
              <w:rPr>
                <w:rFonts w:hint="eastAsia" w:ascii="仿宋_GB2312" w:hAnsi="仿宋" w:eastAsia="仿宋_GB2312" w:cs="仿宋_GB2312"/>
                <w:color w:val="000000"/>
                <w:spacing w:val="-12"/>
                <w:sz w:val="24"/>
                <w:szCs w:val="24"/>
              </w:rPr>
              <w:t>矿领导下井带班情况；</w:t>
            </w:r>
          </w:p>
          <w:p>
            <w:pPr>
              <w:numPr>
                <w:ilvl w:val="0"/>
                <w:numId w:val="1"/>
              </w:numPr>
              <w:kinsoku w:val="0"/>
              <w:overflowPunct w:val="0"/>
              <w:autoSpaceDE w:val="0"/>
              <w:autoSpaceDN w:val="0"/>
              <w:adjustRightInd w:val="0"/>
              <w:snapToGrid w:val="0"/>
              <w:spacing w:line="300" w:lineRule="exact"/>
              <w:ind w:left="0" w:leftChars="0" w:firstLine="0" w:firstLineChars="0"/>
              <w:rPr>
                <w:rFonts w:hint="eastAsia" w:ascii="仿宋_GB2312" w:hAnsi="仿宋" w:eastAsia="仿宋_GB2312" w:cs="仿宋_GB2312"/>
                <w:color w:val="000000"/>
                <w:spacing w:val="-12"/>
                <w:sz w:val="24"/>
                <w:szCs w:val="24"/>
              </w:rPr>
            </w:pPr>
            <w:r>
              <w:rPr>
                <w:rFonts w:hint="eastAsia" w:ascii="仿宋_GB2312" w:hAnsi="仿宋" w:eastAsia="仿宋_GB2312" w:cs="仿宋_GB2312"/>
                <w:color w:val="000000"/>
                <w:spacing w:val="-12"/>
                <w:sz w:val="24"/>
                <w:szCs w:val="24"/>
              </w:rPr>
              <w:t>安全出口情况</w:t>
            </w:r>
          </w:p>
          <w:p>
            <w:pPr>
              <w:numPr>
                <w:ilvl w:val="0"/>
                <w:numId w:val="1"/>
              </w:numPr>
              <w:kinsoku w:val="0"/>
              <w:overflowPunct w:val="0"/>
              <w:autoSpaceDE w:val="0"/>
              <w:autoSpaceDN w:val="0"/>
              <w:adjustRightInd w:val="0"/>
              <w:snapToGrid w:val="0"/>
              <w:spacing w:line="300" w:lineRule="exact"/>
              <w:ind w:left="0" w:leftChars="0" w:firstLine="0" w:firstLineChars="0"/>
              <w:rPr>
                <w:rFonts w:ascii="仿宋_GB2312" w:hAnsi="仿宋" w:eastAsia="仿宋_GB2312"/>
                <w:color w:val="000000"/>
                <w:spacing w:val="-12"/>
                <w:sz w:val="24"/>
                <w:szCs w:val="24"/>
              </w:rPr>
            </w:pPr>
            <w:r>
              <w:rPr>
                <w:rFonts w:hint="eastAsia" w:ascii="仿宋_GB2312" w:hAnsi="仿宋" w:eastAsia="仿宋_GB2312" w:cs="仿宋_GB2312"/>
                <w:color w:val="000000"/>
                <w:spacing w:val="-12"/>
                <w:sz w:val="24"/>
                <w:szCs w:val="24"/>
              </w:rPr>
              <w:t>主通风机运行监控情况；</w:t>
            </w:r>
          </w:p>
          <w:p>
            <w:pPr>
              <w:numPr>
                <w:ilvl w:val="0"/>
                <w:numId w:val="1"/>
              </w:numPr>
              <w:kinsoku w:val="0"/>
              <w:overflowPunct w:val="0"/>
              <w:autoSpaceDE w:val="0"/>
              <w:autoSpaceDN w:val="0"/>
              <w:adjustRightInd w:val="0"/>
              <w:snapToGrid w:val="0"/>
              <w:spacing w:line="300" w:lineRule="exact"/>
              <w:ind w:left="0" w:leftChars="0" w:firstLine="0" w:firstLineChars="0"/>
              <w:rPr>
                <w:rFonts w:ascii="仿宋_GB2312" w:hAnsi="仿宋" w:eastAsia="仿宋_GB2312"/>
                <w:color w:val="000000"/>
                <w:spacing w:val="-12"/>
                <w:sz w:val="24"/>
                <w:szCs w:val="24"/>
              </w:rPr>
            </w:pPr>
            <w:r>
              <w:rPr>
                <w:rFonts w:hint="eastAsia" w:ascii="仿宋_GB2312" w:hAnsi="仿宋" w:eastAsia="仿宋_GB2312" w:cs="仿宋_GB2312"/>
                <w:color w:val="000000"/>
                <w:spacing w:val="-12"/>
                <w:sz w:val="24"/>
                <w:szCs w:val="24"/>
              </w:rPr>
              <w:t>自救器和便携式气体检测仪配备情况；</w:t>
            </w:r>
          </w:p>
          <w:p>
            <w:pPr>
              <w:numPr>
                <w:ilvl w:val="0"/>
                <w:numId w:val="1"/>
              </w:numPr>
              <w:kinsoku w:val="0"/>
              <w:overflowPunct w:val="0"/>
              <w:autoSpaceDE w:val="0"/>
              <w:autoSpaceDN w:val="0"/>
              <w:adjustRightInd w:val="0"/>
              <w:snapToGrid w:val="0"/>
              <w:spacing w:line="300" w:lineRule="exact"/>
              <w:ind w:left="0" w:leftChars="0" w:firstLine="0" w:firstLineChars="0"/>
              <w:rPr>
                <w:rFonts w:ascii="仿宋_GB2312" w:hAnsi="仿宋" w:eastAsia="仿宋_GB2312"/>
                <w:color w:val="000000"/>
                <w:spacing w:val="-12"/>
                <w:sz w:val="24"/>
                <w:szCs w:val="24"/>
              </w:rPr>
            </w:pPr>
            <w:r>
              <w:rPr>
                <w:rFonts w:hint="eastAsia" w:ascii="仿宋_GB2312" w:hAnsi="仿宋" w:eastAsia="仿宋_GB2312" w:cs="仿宋_GB2312"/>
                <w:color w:val="000000"/>
                <w:spacing w:val="-12"/>
                <w:sz w:val="24"/>
                <w:szCs w:val="24"/>
              </w:rPr>
              <w:t>井下人员定位系统运行情况</w:t>
            </w:r>
          </w:p>
        </w:tc>
        <w:tc>
          <w:tcPr>
            <w:tcW w:w="1283" w:type="dxa"/>
            <w:vMerge w:val="restart"/>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地下矿山企业</w:t>
            </w:r>
          </w:p>
        </w:tc>
        <w:tc>
          <w:tcPr>
            <w:tcW w:w="1283" w:type="dxa"/>
            <w:vMerge w:val="restart"/>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一般</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检查事项</w:t>
            </w:r>
          </w:p>
        </w:tc>
        <w:tc>
          <w:tcPr>
            <w:tcW w:w="1267" w:type="dxa"/>
            <w:vMerge w:val="restart"/>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sz w:val="24"/>
                <w:szCs w:val="24"/>
              </w:rPr>
            </w:pPr>
            <w:r>
              <w:rPr>
                <w:rFonts w:hint="eastAsia" w:ascii="仿宋_GB2312" w:hAnsi="黑体" w:eastAsia="仿宋_GB2312" w:cs="仿宋_GB2312"/>
                <w:color w:val="000000"/>
                <w:spacing w:val="-20"/>
                <w:kern w:val="0"/>
                <w:sz w:val="24"/>
                <w:szCs w:val="24"/>
              </w:rPr>
              <w:t>书面检查、</w:t>
            </w:r>
            <w:r>
              <w:rPr>
                <w:rFonts w:hint="eastAsia" w:ascii="仿宋_GB2312" w:eastAsia="仿宋_GB2312" w:cs="仿宋_GB2312"/>
                <w:color w:val="000000"/>
                <w:spacing w:val="-20"/>
                <w:sz w:val="24"/>
                <w:szCs w:val="24"/>
              </w:rPr>
              <w:t>实地核查</w:t>
            </w:r>
            <w:r>
              <w:rPr>
                <w:rFonts w:hint="eastAsia" w:ascii="仿宋_GB2312" w:hAnsi="黑体" w:eastAsia="仿宋_GB2312" w:cs="仿宋_GB2312"/>
                <w:color w:val="000000"/>
                <w:spacing w:val="-20"/>
                <w:kern w:val="0"/>
                <w:sz w:val="24"/>
                <w:szCs w:val="24"/>
              </w:rPr>
              <w:t>、网络监测</w:t>
            </w:r>
          </w:p>
        </w:tc>
        <w:tc>
          <w:tcPr>
            <w:tcW w:w="4407" w:type="dxa"/>
            <w:vAlign w:val="center"/>
          </w:tcPr>
          <w:p>
            <w:pPr>
              <w:kinsoku w:val="0"/>
              <w:overflowPunct w:val="0"/>
              <w:autoSpaceDE w:val="0"/>
              <w:autoSpaceDN w:val="0"/>
              <w:adjustRightInd w:val="0"/>
              <w:snapToGrid w:val="0"/>
              <w:spacing w:line="2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《金属非金属地下矿山企业领导带班下井及监督检查暂行规定》（国家安全监管总局令第</w:t>
            </w:r>
            <w:r>
              <w:rPr>
                <w:rFonts w:ascii="仿宋_GB2312" w:hAnsi="仿宋" w:eastAsia="仿宋_GB2312" w:cs="仿宋_GB2312"/>
                <w:color w:val="000000"/>
                <w:spacing w:val="-20"/>
                <w:sz w:val="24"/>
                <w:szCs w:val="24"/>
              </w:rPr>
              <w:t>34</w:t>
            </w:r>
            <w:r>
              <w:rPr>
                <w:rFonts w:hint="eastAsia" w:ascii="仿宋_GB2312" w:hAnsi="仿宋" w:eastAsia="仿宋_GB2312" w:cs="仿宋_GB2312"/>
                <w:color w:val="000000"/>
                <w:spacing w:val="-20"/>
                <w:sz w:val="24"/>
                <w:szCs w:val="24"/>
              </w:rPr>
              <w:t>号）；《矿山安全法》第十条；《金属非金属矿山安全规程》（</w:t>
            </w:r>
            <w:r>
              <w:rPr>
                <w:rFonts w:ascii="仿宋_GB2312" w:hAnsi="仿宋" w:eastAsia="仿宋_GB2312" w:cs="仿宋_GB2312"/>
                <w:color w:val="000000"/>
                <w:spacing w:val="-20"/>
                <w:sz w:val="24"/>
                <w:szCs w:val="24"/>
              </w:rPr>
              <w:t>GB16423-2006</w:t>
            </w:r>
            <w:r>
              <w:rPr>
                <w:rFonts w:hint="eastAsia" w:ascii="仿宋_GB2312" w:hAnsi="仿宋" w:eastAsia="仿宋_GB2312" w:cs="仿宋_GB2312"/>
                <w:color w:val="000000"/>
                <w:spacing w:val="-20"/>
                <w:sz w:val="24"/>
                <w:szCs w:val="24"/>
              </w:rPr>
              <w:t>）第</w:t>
            </w:r>
            <w:r>
              <w:rPr>
                <w:rFonts w:ascii="仿宋_GB2312" w:hAnsi="仿宋" w:eastAsia="仿宋_GB2312" w:cs="仿宋_GB2312"/>
                <w:color w:val="000000"/>
                <w:spacing w:val="-20"/>
                <w:sz w:val="24"/>
                <w:szCs w:val="24"/>
              </w:rPr>
              <w:t>6</w:t>
            </w:r>
            <w:r>
              <w:rPr>
                <w:rFonts w:hint="eastAsia" w:ascii="仿宋_GB2312" w:hAnsi="仿宋" w:eastAsia="仿宋_GB2312" w:cs="仿宋_GB2312"/>
                <w:color w:val="000000"/>
                <w:spacing w:val="-20"/>
                <w:sz w:val="24"/>
                <w:szCs w:val="24"/>
              </w:rPr>
              <w:t>章；《金属非金属地下矿山通风技术规范》（</w:t>
            </w:r>
            <w:r>
              <w:rPr>
                <w:rFonts w:ascii="仿宋_GB2312" w:hAnsi="仿宋" w:eastAsia="仿宋_GB2312" w:cs="仿宋_GB2312"/>
                <w:color w:val="000000"/>
                <w:spacing w:val="-20"/>
                <w:sz w:val="24"/>
                <w:szCs w:val="24"/>
              </w:rPr>
              <w:t>AQ2013-2008</w:t>
            </w:r>
            <w:r>
              <w:rPr>
                <w:rFonts w:hint="eastAsia" w:ascii="仿宋_GB2312" w:hAnsi="仿宋" w:eastAsia="仿宋_GB2312" w:cs="仿宋_GB2312"/>
                <w:color w:val="000000"/>
                <w:spacing w:val="-20"/>
                <w:sz w:val="24"/>
                <w:szCs w:val="24"/>
              </w:rPr>
              <w:t>）第</w:t>
            </w:r>
            <w:r>
              <w:rPr>
                <w:rFonts w:ascii="仿宋_GB2312" w:hAnsi="仿宋" w:eastAsia="仿宋_GB2312" w:cs="仿宋_GB2312"/>
                <w:color w:val="000000"/>
                <w:spacing w:val="-20"/>
                <w:sz w:val="24"/>
                <w:szCs w:val="24"/>
              </w:rPr>
              <w:t>6</w:t>
            </w:r>
            <w:r>
              <w:rPr>
                <w:rFonts w:hint="eastAsia" w:ascii="仿宋_GB2312" w:hAnsi="仿宋" w:eastAsia="仿宋_GB2312" w:cs="仿宋_GB2312"/>
                <w:color w:val="000000"/>
                <w:spacing w:val="-20"/>
                <w:sz w:val="24"/>
                <w:szCs w:val="24"/>
              </w:rPr>
              <w:t>章；《金属非金属地下矿山紧急避险系统建设规范》（</w:t>
            </w:r>
            <w:r>
              <w:rPr>
                <w:rFonts w:ascii="仿宋_GB2312" w:hAnsi="仿宋" w:eastAsia="仿宋_GB2312" w:cs="仿宋_GB2312"/>
                <w:color w:val="000000"/>
                <w:spacing w:val="-20"/>
                <w:sz w:val="24"/>
                <w:szCs w:val="24"/>
              </w:rPr>
              <w:t>AQ2033-2011</w:t>
            </w:r>
            <w:r>
              <w:rPr>
                <w:rFonts w:hint="eastAsia" w:ascii="仿宋_GB2312" w:hAnsi="仿宋" w:eastAsia="仿宋_GB2312" w:cs="仿宋_GB2312"/>
                <w:color w:val="000000"/>
                <w:spacing w:val="-20"/>
                <w:sz w:val="24"/>
                <w:szCs w:val="24"/>
              </w:rPr>
              <w:t>）第</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章；《金属非金属地下矿山监测监控系统建设规范》（</w:t>
            </w:r>
            <w:r>
              <w:rPr>
                <w:rFonts w:ascii="仿宋_GB2312" w:hAnsi="仿宋" w:eastAsia="仿宋_GB2312" w:cs="仿宋_GB2312"/>
                <w:color w:val="000000"/>
                <w:spacing w:val="-20"/>
                <w:sz w:val="24"/>
                <w:szCs w:val="24"/>
              </w:rPr>
              <w:t>AQ2031-2011</w:t>
            </w:r>
            <w:r>
              <w:rPr>
                <w:rFonts w:hint="eastAsia" w:ascii="仿宋_GB2312" w:hAnsi="仿宋" w:eastAsia="仿宋_GB2312" w:cs="仿宋_GB2312"/>
                <w:color w:val="000000"/>
                <w:spacing w:val="-20"/>
                <w:sz w:val="24"/>
                <w:szCs w:val="24"/>
              </w:rPr>
              <w:t>）第</w:t>
            </w:r>
            <w:r>
              <w:rPr>
                <w:rFonts w:ascii="仿宋_GB2312" w:hAnsi="仿宋" w:eastAsia="仿宋_GB2312" w:cs="仿宋_GB2312"/>
                <w:color w:val="000000"/>
                <w:spacing w:val="-20"/>
                <w:sz w:val="24"/>
                <w:szCs w:val="24"/>
              </w:rPr>
              <w:t>5</w:t>
            </w:r>
            <w:r>
              <w:rPr>
                <w:rFonts w:hint="eastAsia" w:ascii="仿宋_GB2312" w:hAnsi="仿宋" w:eastAsia="仿宋_GB2312" w:cs="仿宋_GB2312"/>
                <w:color w:val="000000"/>
                <w:spacing w:val="-20"/>
                <w:sz w:val="24"/>
                <w:szCs w:val="24"/>
              </w:rPr>
              <w:t>章；《金属非金属地下矿山人员定位系统建设规范》（</w:t>
            </w:r>
            <w:r>
              <w:rPr>
                <w:rFonts w:ascii="仿宋_GB2312" w:hAnsi="仿宋" w:eastAsia="仿宋_GB2312" w:cs="仿宋_GB2312"/>
                <w:color w:val="000000"/>
                <w:spacing w:val="-20"/>
                <w:sz w:val="24"/>
                <w:szCs w:val="24"/>
              </w:rPr>
              <w:t>AQ2032-2011</w:t>
            </w:r>
            <w:r>
              <w:rPr>
                <w:rFonts w:hint="eastAsia" w:ascii="仿宋_GB2312" w:hAnsi="仿宋" w:eastAsia="仿宋_GB2312" w:cs="仿宋_GB2312"/>
                <w:color w:val="000000"/>
                <w:spacing w:val="-20"/>
                <w:sz w:val="24"/>
                <w:szCs w:val="24"/>
              </w:rPr>
              <w:t>）第</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章</w:t>
            </w:r>
          </w:p>
        </w:tc>
        <w:tc>
          <w:tcPr>
            <w:tcW w:w="1224"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应急</w:t>
            </w:r>
          </w:p>
          <w:p>
            <w:pPr>
              <w:jc w:val="center"/>
              <w:rPr>
                <w:rFonts w:ascii="宋体"/>
                <w:b/>
                <w:bCs/>
                <w:color w:val="000000"/>
                <w:sz w:val="24"/>
                <w:szCs w:val="24"/>
              </w:rPr>
            </w:pPr>
            <w:r>
              <w:rPr>
                <w:rFonts w:hint="eastAsia" w:ascii="仿宋_GB2312" w:hAnsi="仿宋" w:eastAsia="仿宋_GB2312" w:cs="仿宋_GB2312"/>
                <w:color w:val="000000"/>
                <w:spacing w:val="-20"/>
                <w:sz w:val="24"/>
                <w:szCs w:val="24"/>
              </w:rPr>
              <w:t>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2" w:hRule="atLeast"/>
        </w:trPr>
        <w:tc>
          <w:tcPr>
            <w:tcW w:w="702" w:type="dxa"/>
            <w:vMerge w:val="continue"/>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sz w:val="24"/>
                <w:szCs w:val="24"/>
              </w:rPr>
            </w:pPr>
          </w:p>
        </w:tc>
        <w:tc>
          <w:tcPr>
            <w:tcW w:w="1228"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16"/>
                <w:sz w:val="24"/>
                <w:szCs w:val="24"/>
              </w:rPr>
            </w:pPr>
          </w:p>
        </w:tc>
        <w:tc>
          <w:tcPr>
            <w:tcW w:w="3568" w:type="dxa"/>
            <w:vAlign w:val="center"/>
          </w:tcPr>
          <w:p>
            <w:pPr>
              <w:numPr>
                <w:ilvl w:val="0"/>
                <w:numId w:val="2"/>
              </w:numPr>
              <w:kinsoku w:val="0"/>
              <w:overflowPunct w:val="0"/>
              <w:autoSpaceDE w:val="0"/>
              <w:autoSpaceDN w:val="0"/>
              <w:adjustRightInd w:val="0"/>
              <w:snapToGrid w:val="0"/>
              <w:spacing w:line="300" w:lineRule="exact"/>
              <w:rPr>
                <w:rFonts w:hint="eastAsia" w:ascii="仿宋_GB2312" w:hAnsi="仿宋" w:eastAsia="仿宋_GB2312" w:cs="仿宋_GB2312"/>
                <w:color w:val="000000"/>
                <w:spacing w:val="-12"/>
                <w:sz w:val="24"/>
                <w:szCs w:val="24"/>
              </w:rPr>
            </w:pPr>
            <w:r>
              <w:rPr>
                <w:rFonts w:hint="eastAsia" w:ascii="仿宋_GB2312" w:hAnsi="仿宋" w:eastAsia="仿宋_GB2312" w:cs="仿宋_GB2312"/>
                <w:color w:val="000000"/>
                <w:spacing w:val="-12"/>
                <w:sz w:val="24"/>
                <w:szCs w:val="24"/>
              </w:rPr>
              <w:t>顶板监测管控和采空区普查、治理、监测情况；</w:t>
            </w:r>
          </w:p>
          <w:p>
            <w:pPr>
              <w:numPr>
                <w:ilvl w:val="0"/>
                <w:numId w:val="2"/>
              </w:numPr>
              <w:kinsoku w:val="0"/>
              <w:overflowPunct w:val="0"/>
              <w:autoSpaceDE w:val="0"/>
              <w:autoSpaceDN w:val="0"/>
              <w:adjustRightInd w:val="0"/>
              <w:snapToGrid w:val="0"/>
              <w:spacing w:line="300" w:lineRule="exact"/>
              <w:rPr>
                <w:rFonts w:ascii="仿宋_GB2312" w:hAnsi="仿宋" w:eastAsia="仿宋_GB2312"/>
                <w:color w:val="000000"/>
                <w:spacing w:val="-12"/>
                <w:sz w:val="24"/>
                <w:szCs w:val="24"/>
              </w:rPr>
            </w:pPr>
            <w:r>
              <w:rPr>
                <w:rFonts w:hint="eastAsia" w:ascii="仿宋_GB2312" w:hAnsi="仿宋" w:eastAsia="仿宋_GB2312" w:cs="仿宋_GB2312"/>
                <w:color w:val="000000"/>
                <w:spacing w:val="-12"/>
                <w:sz w:val="24"/>
                <w:szCs w:val="24"/>
              </w:rPr>
              <w:t>探放水制度落实、水害隐患治理情况；</w:t>
            </w:r>
          </w:p>
          <w:p>
            <w:pPr>
              <w:numPr>
                <w:ilvl w:val="0"/>
                <w:numId w:val="2"/>
              </w:numPr>
              <w:kinsoku w:val="0"/>
              <w:overflowPunct w:val="0"/>
              <w:autoSpaceDE w:val="0"/>
              <w:autoSpaceDN w:val="0"/>
              <w:adjustRightInd w:val="0"/>
              <w:snapToGrid w:val="0"/>
              <w:spacing w:line="300" w:lineRule="exact"/>
              <w:rPr>
                <w:rFonts w:ascii="仿宋_GB2312" w:hAnsi="仿宋" w:eastAsia="仿宋_GB2312"/>
                <w:color w:val="000000"/>
                <w:spacing w:val="-12"/>
                <w:sz w:val="24"/>
                <w:szCs w:val="24"/>
              </w:rPr>
            </w:pPr>
            <w:r>
              <w:rPr>
                <w:rFonts w:hint="eastAsia" w:ascii="仿宋_GB2312" w:hAnsi="仿宋" w:eastAsia="仿宋_GB2312" w:cs="仿宋_GB2312"/>
                <w:color w:val="000000"/>
                <w:spacing w:val="-12"/>
                <w:sz w:val="24"/>
                <w:szCs w:val="24"/>
              </w:rPr>
              <w:t>提升设备定期检测检验情况</w:t>
            </w:r>
          </w:p>
        </w:tc>
        <w:tc>
          <w:tcPr>
            <w:tcW w:w="1283" w:type="dxa"/>
            <w:vMerge w:val="continue"/>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sz w:val="24"/>
                <w:szCs w:val="24"/>
              </w:rPr>
            </w:pPr>
          </w:p>
        </w:tc>
        <w:tc>
          <w:tcPr>
            <w:tcW w:w="1283" w:type="dxa"/>
            <w:vMerge w:val="continue"/>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《金属非金属矿山安全规程》（</w:t>
            </w:r>
            <w:r>
              <w:rPr>
                <w:rFonts w:ascii="仿宋_GB2312" w:hAnsi="仿宋" w:eastAsia="仿宋_GB2312" w:cs="仿宋_GB2312"/>
                <w:color w:val="000000"/>
                <w:spacing w:val="-20"/>
                <w:sz w:val="24"/>
                <w:szCs w:val="24"/>
              </w:rPr>
              <w:t>GB16423-2006</w:t>
            </w:r>
            <w:r>
              <w:rPr>
                <w:rFonts w:hint="eastAsia" w:ascii="仿宋_GB2312" w:hAnsi="仿宋" w:eastAsia="仿宋_GB2312" w:cs="仿宋_GB2312"/>
                <w:color w:val="000000"/>
                <w:spacing w:val="-20"/>
                <w:sz w:val="24"/>
                <w:szCs w:val="24"/>
              </w:rPr>
              <w:t>）第</w:t>
            </w:r>
            <w:r>
              <w:rPr>
                <w:rFonts w:ascii="仿宋_GB2312" w:hAnsi="仿宋" w:eastAsia="仿宋_GB2312" w:cs="仿宋_GB2312"/>
                <w:color w:val="000000"/>
                <w:spacing w:val="-20"/>
                <w:sz w:val="24"/>
                <w:szCs w:val="24"/>
              </w:rPr>
              <w:t>6</w:t>
            </w:r>
            <w:r>
              <w:rPr>
                <w:rFonts w:hint="eastAsia" w:ascii="仿宋_GB2312" w:hAnsi="仿宋" w:eastAsia="仿宋_GB2312" w:cs="仿宋_GB2312"/>
                <w:color w:val="000000"/>
                <w:spacing w:val="-20"/>
                <w:sz w:val="24"/>
                <w:szCs w:val="24"/>
              </w:rPr>
              <w:t>章</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restart"/>
            <w:vAlign w:val="center"/>
          </w:tcPr>
          <w:p>
            <w:pPr>
              <w:kinsoku w:val="0"/>
              <w:overflowPunct w:val="0"/>
              <w:autoSpaceDE w:val="0"/>
              <w:autoSpaceDN w:val="0"/>
              <w:adjustRightInd w:val="0"/>
              <w:snapToGrid w:val="0"/>
              <w:spacing w:line="300" w:lineRule="exact"/>
              <w:jc w:val="center"/>
              <w:rPr>
                <w:rFonts w:hint="default" w:ascii="仿宋_GB2312" w:hAnsi="仿宋" w:eastAsia="仿宋_GB2312"/>
                <w:color w:val="000000"/>
                <w:spacing w:val="-20"/>
                <w:sz w:val="24"/>
                <w:szCs w:val="24"/>
                <w:lang w:val="en-US" w:eastAsia="zh-CN"/>
              </w:rPr>
            </w:pPr>
            <w:r>
              <w:rPr>
                <w:rFonts w:hint="eastAsia" w:ascii="仿宋_GB2312" w:hAnsi="仿宋" w:eastAsia="仿宋_GB2312"/>
                <w:color w:val="000000"/>
                <w:spacing w:val="-20"/>
                <w:sz w:val="24"/>
                <w:szCs w:val="24"/>
                <w:lang w:val="en-US" w:eastAsia="zh-CN"/>
              </w:rPr>
              <w:t>30</w:t>
            </w:r>
          </w:p>
        </w:tc>
        <w:tc>
          <w:tcPr>
            <w:tcW w:w="1228" w:type="dxa"/>
            <w:vMerge w:val="restart"/>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12"/>
                <w:sz w:val="24"/>
                <w:szCs w:val="24"/>
              </w:rPr>
            </w:pPr>
            <w:r>
              <w:rPr>
                <w:rFonts w:hint="eastAsia" w:ascii="仿宋_GB2312" w:hAnsi="仿宋" w:eastAsia="仿宋_GB2312" w:cs="仿宋_GB2312"/>
                <w:color w:val="000000"/>
                <w:spacing w:val="-12"/>
                <w:sz w:val="24"/>
                <w:szCs w:val="24"/>
              </w:rPr>
              <w:t>露天矿山检查</w:t>
            </w:r>
          </w:p>
        </w:tc>
        <w:tc>
          <w:tcPr>
            <w:tcW w:w="3568" w:type="dxa"/>
            <w:vAlign w:val="center"/>
          </w:tcPr>
          <w:p>
            <w:pPr>
              <w:numPr>
                <w:ilvl w:val="0"/>
                <w:numId w:val="3"/>
              </w:numPr>
              <w:kinsoku w:val="0"/>
              <w:overflowPunct w:val="0"/>
              <w:autoSpaceDE w:val="0"/>
              <w:autoSpaceDN w:val="0"/>
              <w:adjustRightInd w:val="0"/>
              <w:snapToGrid w:val="0"/>
              <w:spacing w:line="300" w:lineRule="exact"/>
              <w:rPr>
                <w:rFonts w:hint="eastAsia" w:ascii="仿宋_GB2312" w:hAnsi="仿宋" w:eastAsia="仿宋_GB2312" w:cs="仿宋_GB2312"/>
                <w:color w:val="000000"/>
                <w:spacing w:val="-12"/>
                <w:sz w:val="24"/>
                <w:szCs w:val="24"/>
              </w:rPr>
            </w:pPr>
            <w:r>
              <w:rPr>
                <w:rFonts w:hint="eastAsia" w:ascii="仿宋_GB2312" w:hAnsi="仿宋" w:eastAsia="仿宋_GB2312" w:cs="仿宋_GB2312"/>
                <w:color w:val="000000"/>
                <w:spacing w:val="-12"/>
                <w:sz w:val="24"/>
                <w:szCs w:val="24"/>
              </w:rPr>
              <w:t>爆破安全距离；</w:t>
            </w:r>
          </w:p>
          <w:p>
            <w:pPr>
              <w:numPr>
                <w:ilvl w:val="0"/>
                <w:numId w:val="3"/>
              </w:numPr>
              <w:kinsoku w:val="0"/>
              <w:overflowPunct w:val="0"/>
              <w:autoSpaceDE w:val="0"/>
              <w:autoSpaceDN w:val="0"/>
              <w:adjustRightInd w:val="0"/>
              <w:snapToGrid w:val="0"/>
              <w:spacing w:line="300" w:lineRule="exact"/>
              <w:rPr>
                <w:rFonts w:ascii="仿宋_GB2312" w:hAnsi="仿宋" w:eastAsia="仿宋_GB2312"/>
                <w:color w:val="000000"/>
                <w:spacing w:val="-12"/>
                <w:sz w:val="24"/>
                <w:szCs w:val="24"/>
              </w:rPr>
            </w:pPr>
            <w:r>
              <w:rPr>
                <w:rFonts w:hint="eastAsia" w:ascii="仿宋_GB2312" w:hAnsi="仿宋" w:eastAsia="仿宋_GB2312" w:cs="仿宋_GB2312"/>
                <w:color w:val="000000"/>
                <w:spacing w:val="-12"/>
                <w:sz w:val="24"/>
                <w:szCs w:val="24"/>
              </w:rPr>
              <w:t>按设计参数分层分台阶开采情况</w:t>
            </w:r>
          </w:p>
          <w:p>
            <w:pPr>
              <w:numPr>
                <w:ilvl w:val="0"/>
                <w:numId w:val="3"/>
              </w:numPr>
              <w:kinsoku w:val="0"/>
              <w:overflowPunct w:val="0"/>
              <w:autoSpaceDE w:val="0"/>
              <w:autoSpaceDN w:val="0"/>
              <w:adjustRightInd w:val="0"/>
              <w:snapToGrid w:val="0"/>
              <w:spacing w:line="300" w:lineRule="exact"/>
              <w:rPr>
                <w:rFonts w:ascii="仿宋_GB2312" w:hAnsi="仿宋" w:eastAsia="仿宋_GB2312"/>
                <w:color w:val="000000"/>
                <w:spacing w:val="-12"/>
                <w:sz w:val="24"/>
                <w:szCs w:val="24"/>
              </w:rPr>
            </w:pPr>
            <w:r>
              <w:rPr>
                <w:rFonts w:hint="eastAsia" w:ascii="仿宋_GB2312" w:hAnsi="仿宋" w:eastAsia="仿宋_GB2312" w:cs="仿宋_GB2312"/>
                <w:color w:val="000000"/>
                <w:spacing w:val="-12"/>
                <w:sz w:val="24"/>
                <w:szCs w:val="24"/>
              </w:rPr>
              <w:t>中深孔爆破作业落实情况。</w:t>
            </w:r>
          </w:p>
        </w:tc>
        <w:tc>
          <w:tcPr>
            <w:tcW w:w="1283" w:type="dxa"/>
            <w:vMerge w:val="restart"/>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露天矿山企业</w:t>
            </w:r>
          </w:p>
        </w:tc>
        <w:tc>
          <w:tcPr>
            <w:tcW w:w="1283" w:type="dxa"/>
            <w:vMerge w:val="continue"/>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《小型露天采石场安全管理与监督检查规定》（国家安全监管总局令第</w:t>
            </w:r>
            <w:r>
              <w:rPr>
                <w:rFonts w:ascii="仿宋_GB2312" w:hAnsi="仿宋" w:eastAsia="仿宋_GB2312" w:cs="仿宋_GB2312"/>
                <w:color w:val="000000"/>
                <w:spacing w:val="-20"/>
                <w:sz w:val="24"/>
                <w:szCs w:val="24"/>
              </w:rPr>
              <w:t>39</w:t>
            </w:r>
            <w:r>
              <w:rPr>
                <w:rFonts w:hint="eastAsia" w:ascii="仿宋_GB2312" w:hAnsi="仿宋" w:eastAsia="仿宋_GB2312" w:cs="仿宋_GB2312"/>
                <w:color w:val="000000"/>
                <w:spacing w:val="-20"/>
                <w:sz w:val="24"/>
                <w:szCs w:val="24"/>
              </w:rPr>
              <w:t>号）；《爆破安全规程》（</w:t>
            </w:r>
            <w:r>
              <w:rPr>
                <w:rFonts w:ascii="仿宋_GB2312" w:hAnsi="仿宋" w:eastAsia="仿宋_GB2312" w:cs="仿宋_GB2312"/>
                <w:color w:val="000000"/>
                <w:spacing w:val="-20"/>
                <w:sz w:val="24"/>
                <w:szCs w:val="24"/>
              </w:rPr>
              <w:t>GB6722-2014</w:t>
            </w:r>
            <w:r>
              <w:rPr>
                <w:rFonts w:hint="eastAsia" w:ascii="仿宋_GB2312" w:hAnsi="仿宋" w:eastAsia="仿宋_GB2312" w:cs="仿宋_GB2312"/>
                <w:color w:val="000000"/>
                <w:spacing w:val="-20"/>
                <w:sz w:val="24"/>
                <w:szCs w:val="24"/>
              </w:rPr>
              <w:t>）第</w:t>
            </w:r>
            <w:r>
              <w:rPr>
                <w:rFonts w:ascii="仿宋_GB2312" w:hAnsi="仿宋" w:eastAsia="仿宋_GB2312" w:cs="仿宋_GB2312"/>
                <w:color w:val="000000"/>
                <w:spacing w:val="-20"/>
                <w:sz w:val="24"/>
                <w:szCs w:val="24"/>
              </w:rPr>
              <w:t>13</w:t>
            </w:r>
            <w:r>
              <w:rPr>
                <w:rFonts w:hint="eastAsia" w:ascii="仿宋_GB2312" w:hAnsi="仿宋" w:eastAsia="仿宋_GB2312" w:cs="仿宋_GB2312"/>
                <w:color w:val="000000"/>
                <w:spacing w:val="-20"/>
                <w:sz w:val="24"/>
                <w:szCs w:val="24"/>
              </w:rPr>
              <w:t>章；《金属非金属矿山安全规程》（</w:t>
            </w:r>
            <w:r>
              <w:rPr>
                <w:rFonts w:ascii="仿宋_GB2312" w:hAnsi="仿宋" w:eastAsia="仿宋_GB2312" w:cs="仿宋_GB2312"/>
                <w:color w:val="000000"/>
                <w:spacing w:val="-20"/>
                <w:sz w:val="24"/>
                <w:szCs w:val="24"/>
              </w:rPr>
              <w:t>GB16423-2006</w:t>
            </w:r>
            <w:r>
              <w:rPr>
                <w:rFonts w:hint="eastAsia" w:ascii="仿宋_GB2312" w:hAnsi="仿宋" w:eastAsia="仿宋_GB2312" w:cs="仿宋_GB2312"/>
                <w:color w:val="000000"/>
                <w:spacing w:val="-20"/>
                <w:sz w:val="24"/>
                <w:szCs w:val="24"/>
              </w:rPr>
              <w:t>）第</w:t>
            </w:r>
            <w:r>
              <w:rPr>
                <w:rFonts w:ascii="仿宋_GB2312" w:hAnsi="仿宋" w:eastAsia="仿宋_GB2312" w:cs="仿宋_GB2312"/>
                <w:color w:val="000000"/>
                <w:spacing w:val="-20"/>
                <w:sz w:val="24"/>
                <w:szCs w:val="24"/>
              </w:rPr>
              <w:t>5</w:t>
            </w:r>
            <w:r>
              <w:rPr>
                <w:rFonts w:hint="eastAsia" w:ascii="仿宋_GB2312" w:hAnsi="仿宋" w:eastAsia="仿宋_GB2312" w:cs="仿宋_GB2312"/>
                <w:color w:val="000000"/>
                <w:spacing w:val="-20"/>
                <w:sz w:val="24"/>
                <w:szCs w:val="24"/>
              </w:rPr>
              <w:t>章</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7" w:hRule="atLeast"/>
        </w:trPr>
        <w:tc>
          <w:tcPr>
            <w:tcW w:w="702" w:type="dxa"/>
            <w:vMerge w:val="continue"/>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sz w:val="24"/>
                <w:szCs w:val="24"/>
              </w:rPr>
            </w:pPr>
          </w:p>
        </w:tc>
        <w:tc>
          <w:tcPr>
            <w:tcW w:w="1228"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12"/>
                <w:sz w:val="24"/>
                <w:szCs w:val="24"/>
              </w:rPr>
            </w:pPr>
          </w:p>
        </w:tc>
        <w:tc>
          <w:tcPr>
            <w:tcW w:w="3568" w:type="dxa"/>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12"/>
                <w:sz w:val="24"/>
                <w:szCs w:val="24"/>
              </w:rPr>
            </w:pPr>
            <w:r>
              <w:rPr>
                <w:rFonts w:ascii="仿宋_GB2312" w:hAnsi="仿宋" w:eastAsia="仿宋_GB2312" w:cs="仿宋_GB2312"/>
                <w:color w:val="000000"/>
                <w:spacing w:val="-12"/>
                <w:sz w:val="24"/>
                <w:szCs w:val="24"/>
              </w:rPr>
              <w:t>1</w:t>
            </w:r>
            <w:r>
              <w:rPr>
                <w:rFonts w:hint="eastAsia" w:ascii="仿宋_GB2312" w:hAnsi="仿宋" w:eastAsia="仿宋_GB2312" w:cs="仿宋_GB2312"/>
                <w:color w:val="000000"/>
                <w:spacing w:val="-12"/>
                <w:sz w:val="24"/>
                <w:szCs w:val="24"/>
              </w:rPr>
              <w:t>、机械二次破碎和铲装作业情况；</w:t>
            </w:r>
            <w:r>
              <w:rPr>
                <w:rFonts w:ascii="仿宋_GB2312" w:hAnsi="仿宋" w:eastAsia="仿宋_GB2312" w:cs="仿宋_GB2312"/>
                <w:color w:val="000000"/>
                <w:spacing w:val="-12"/>
                <w:sz w:val="24"/>
                <w:szCs w:val="24"/>
              </w:rPr>
              <w:t>2</w:t>
            </w:r>
            <w:r>
              <w:rPr>
                <w:rFonts w:hint="eastAsia" w:ascii="仿宋_GB2312" w:hAnsi="仿宋" w:eastAsia="仿宋_GB2312" w:cs="仿宋_GB2312"/>
                <w:color w:val="000000"/>
                <w:spacing w:val="-12"/>
                <w:sz w:val="24"/>
                <w:szCs w:val="24"/>
              </w:rPr>
              <w:t>、按设计控制边坡参数和安全检查情况；</w:t>
            </w:r>
            <w:r>
              <w:rPr>
                <w:rFonts w:ascii="仿宋_GB2312" w:hAnsi="仿宋" w:eastAsia="仿宋_GB2312" w:cs="仿宋_GB2312"/>
                <w:color w:val="000000"/>
                <w:spacing w:val="-12"/>
                <w:sz w:val="24"/>
                <w:szCs w:val="24"/>
              </w:rPr>
              <w:t>3</w:t>
            </w:r>
            <w:r>
              <w:rPr>
                <w:rFonts w:hint="eastAsia" w:ascii="仿宋_GB2312" w:hAnsi="仿宋" w:eastAsia="仿宋_GB2312" w:cs="仿宋_GB2312"/>
                <w:color w:val="000000"/>
                <w:spacing w:val="-12"/>
                <w:sz w:val="24"/>
                <w:szCs w:val="24"/>
              </w:rPr>
              <w:t>、按设计控制排土场堆置参数和安全检查情况</w:t>
            </w:r>
          </w:p>
        </w:tc>
        <w:tc>
          <w:tcPr>
            <w:tcW w:w="1283" w:type="dxa"/>
            <w:vMerge w:val="continue"/>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sz w:val="24"/>
                <w:szCs w:val="24"/>
              </w:rPr>
            </w:pPr>
          </w:p>
        </w:tc>
        <w:tc>
          <w:tcPr>
            <w:tcW w:w="1283" w:type="dxa"/>
            <w:vMerge w:val="continue"/>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《小型露天采石场安全管理与监督检查规定》（国家安全监管总局令第</w:t>
            </w:r>
            <w:r>
              <w:rPr>
                <w:rFonts w:ascii="仿宋_GB2312" w:hAnsi="仿宋" w:eastAsia="仿宋_GB2312" w:cs="仿宋_GB2312"/>
                <w:color w:val="000000"/>
                <w:spacing w:val="-20"/>
                <w:sz w:val="24"/>
                <w:szCs w:val="24"/>
              </w:rPr>
              <w:t>39</w:t>
            </w:r>
            <w:r>
              <w:rPr>
                <w:rFonts w:hint="eastAsia" w:ascii="仿宋_GB2312" w:hAnsi="仿宋" w:eastAsia="仿宋_GB2312" w:cs="仿宋_GB2312"/>
                <w:color w:val="000000"/>
                <w:spacing w:val="-20"/>
                <w:sz w:val="24"/>
                <w:szCs w:val="24"/>
              </w:rPr>
              <w:t>号）；《金属非金属矿山安全规程》（</w:t>
            </w:r>
            <w:r>
              <w:rPr>
                <w:rFonts w:ascii="仿宋_GB2312" w:hAnsi="仿宋" w:eastAsia="仿宋_GB2312" w:cs="仿宋_GB2312"/>
                <w:color w:val="000000"/>
                <w:spacing w:val="-20"/>
                <w:sz w:val="24"/>
                <w:szCs w:val="24"/>
              </w:rPr>
              <w:t>GB16423-2006</w:t>
            </w:r>
            <w:r>
              <w:rPr>
                <w:rFonts w:hint="eastAsia" w:ascii="仿宋_GB2312" w:hAnsi="仿宋" w:eastAsia="仿宋_GB2312" w:cs="仿宋_GB2312"/>
                <w:color w:val="000000"/>
                <w:spacing w:val="-20"/>
                <w:sz w:val="24"/>
                <w:szCs w:val="24"/>
              </w:rPr>
              <w:t>）第</w:t>
            </w:r>
            <w:r>
              <w:rPr>
                <w:rFonts w:ascii="仿宋_GB2312" w:hAnsi="仿宋" w:eastAsia="仿宋_GB2312" w:cs="仿宋_GB2312"/>
                <w:color w:val="000000"/>
                <w:spacing w:val="-20"/>
                <w:sz w:val="24"/>
                <w:szCs w:val="24"/>
              </w:rPr>
              <w:t>5</w:t>
            </w:r>
            <w:r>
              <w:rPr>
                <w:rFonts w:hint="eastAsia" w:ascii="仿宋_GB2312" w:hAnsi="仿宋" w:eastAsia="仿宋_GB2312" w:cs="仿宋_GB2312"/>
                <w:color w:val="000000"/>
                <w:spacing w:val="-20"/>
                <w:sz w:val="24"/>
                <w:szCs w:val="24"/>
              </w:rPr>
              <w:t>章；《金属非金属矿山排土场安全生产规则》（</w:t>
            </w:r>
            <w:r>
              <w:rPr>
                <w:rFonts w:ascii="仿宋_GB2312" w:hAnsi="仿宋" w:eastAsia="仿宋_GB2312" w:cs="仿宋_GB2312"/>
                <w:color w:val="000000"/>
                <w:spacing w:val="-20"/>
                <w:sz w:val="24"/>
                <w:szCs w:val="24"/>
              </w:rPr>
              <w:t>AQ2005-2005</w:t>
            </w:r>
            <w:r>
              <w:rPr>
                <w:rFonts w:hint="eastAsia" w:ascii="仿宋_GB2312" w:hAnsi="仿宋" w:eastAsia="仿宋_GB2312" w:cs="仿宋_GB2312"/>
                <w:color w:val="000000"/>
                <w:spacing w:val="-20"/>
                <w:sz w:val="24"/>
                <w:szCs w:val="24"/>
              </w:rPr>
              <w:t>）第</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章</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sz w:val="24"/>
                <w:szCs w:val="24"/>
                <w:lang w:val="en-US" w:eastAsia="zh-CN"/>
              </w:rPr>
            </w:pPr>
            <w:r>
              <w:rPr>
                <w:rFonts w:hint="eastAsia" w:ascii="仿宋_GB2312" w:hAnsi="仿宋" w:eastAsia="仿宋_GB2312"/>
                <w:color w:val="000000"/>
                <w:spacing w:val="-20"/>
                <w:sz w:val="24"/>
                <w:szCs w:val="24"/>
                <w:lang w:val="en-US" w:eastAsia="zh-CN"/>
              </w:rPr>
              <w:t>31</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尾矿库检查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、勘察、设计、施工、监理、安全评价等中介机构资质情况；</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、安全现状评价、全面勘察及稳定性专项评价完成情况；</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、尾矿库试运行情况；</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、按照设计放矿、筑坝情况</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尾矿库</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一般</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检查事项</w:t>
            </w:r>
          </w:p>
        </w:tc>
        <w:tc>
          <w:tcPr>
            <w:tcW w:w="1267" w:type="dxa"/>
            <w:vMerge w:val="restart"/>
            <w:vAlign w:val="center"/>
          </w:tcPr>
          <w:p>
            <w:pPr>
              <w:kinsoku w:val="0"/>
              <w:overflowPunct w:val="0"/>
              <w:autoSpaceDE w:val="0"/>
              <w:autoSpaceDN w:val="0"/>
              <w:adjustRightInd w:val="0"/>
              <w:snapToGrid w:val="0"/>
              <w:spacing w:line="340" w:lineRule="exact"/>
              <w:rPr>
                <w:rFonts w:ascii="仿宋_GB2312" w:hAnsi="仿宋" w:eastAsia="仿宋_GB2312"/>
                <w:color w:val="000000"/>
                <w:spacing w:val="-20"/>
                <w:sz w:val="24"/>
                <w:szCs w:val="24"/>
              </w:rPr>
            </w:pPr>
            <w:r>
              <w:rPr>
                <w:rFonts w:hint="eastAsia" w:ascii="仿宋_GB2312" w:hAnsi="黑体" w:eastAsia="仿宋_GB2312" w:cs="仿宋_GB2312"/>
                <w:color w:val="000000"/>
                <w:spacing w:val="-20"/>
                <w:kern w:val="0"/>
                <w:sz w:val="24"/>
                <w:szCs w:val="24"/>
              </w:rPr>
              <w:t>书面检查、</w:t>
            </w:r>
            <w:r>
              <w:rPr>
                <w:rFonts w:hint="eastAsia" w:ascii="仿宋_GB2312" w:eastAsia="仿宋_GB2312" w:cs="仿宋_GB2312"/>
                <w:color w:val="000000"/>
                <w:spacing w:val="-20"/>
                <w:sz w:val="24"/>
                <w:szCs w:val="24"/>
              </w:rPr>
              <w:t>实地核查</w:t>
            </w:r>
            <w:r>
              <w:rPr>
                <w:rFonts w:hint="eastAsia" w:ascii="仿宋_GB2312" w:hAnsi="黑体" w:eastAsia="仿宋_GB2312" w:cs="仿宋_GB2312"/>
                <w:color w:val="000000"/>
                <w:spacing w:val="-20"/>
                <w:kern w:val="0"/>
                <w:sz w:val="24"/>
                <w:szCs w:val="24"/>
              </w:rPr>
              <w:t>、网络监测</w:t>
            </w:r>
          </w:p>
        </w:tc>
        <w:tc>
          <w:tcPr>
            <w:tcW w:w="4407"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《尾矿库安全监督管理规定》（国家安全监管总局令第</w:t>
            </w:r>
            <w:r>
              <w:rPr>
                <w:rFonts w:ascii="仿宋_GB2312" w:hAnsi="仿宋" w:eastAsia="仿宋_GB2312" w:cs="仿宋_GB2312"/>
                <w:color w:val="000000"/>
                <w:spacing w:val="-20"/>
                <w:sz w:val="24"/>
                <w:szCs w:val="24"/>
              </w:rPr>
              <w:t>38</w:t>
            </w:r>
            <w:r>
              <w:rPr>
                <w:rFonts w:hint="eastAsia" w:ascii="仿宋_GB2312" w:hAnsi="仿宋" w:eastAsia="仿宋_GB2312" w:cs="仿宋_GB2312"/>
                <w:color w:val="000000"/>
                <w:spacing w:val="-20"/>
                <w:sz w:val="24"/>
                <w:szCs w:val="24"/>
              </w:rPr>
              <w:t>号）；《尾矿设施设计规范》（</w:t>
            </w:r>
            <w:r>
              <w:rPr>
                <w:rFonts w:ascii="仿宋_GB2312" w:hAnsi="仿宋" w:eastAsia="仿宋_GB2312" w:cs="仿宋_GB2312"/>
                <w:color w:val="000000"/>
                <w:spacing w:val="-20"/>
                <w:sz w:val="24"/>
                <w:szCs w:val="24"/>
              </w:rPr>
              <w:t>GB50863-2013</w:t>
            </w:r>
            <w:r>
              <w:rPr>
                <w:rFonts w:hint="eastAsia" w:ascii="仿宋_GB2312" w:hAnsi="仿宋" w:eastAsia="仿宋_GB2312" w:cs="仿宋_GB2312"/>
                <w:color w:val="000000"/>
                <w:spacing w:val="-20"/>
                <w:sz w:val="24"/>
                <w:szCs w:val="24"/>
              </w:rPr>
              <w:t>）第</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章；《尾矿库安全技术规程》（</w:t>
            </w:r>
            <w:r>
              <w:rPr>
                <w:rFonts w:ascii="仿宋_GB2312" w:hAnsi="仿宋" w:eastAsia="仿宋_GB2312" w:cs="仿宋_GB2312"/>
                <w:color w:val="000000"/>
                <w:spacing w:val="-20"/>
                <w:sz w:val="24"/>
                <w:szCs w:val="24"/>
              </w:rPr>
              <w:t>AQ2006-2005</w:t>
            </w:r>
            <w:r>
              <w:rPr>
                <w:rFonts w:hint="eastAsia" w:ascii="仿宋_GB2312" w:hAnsi="仿宋" w:eastAsia="仿宋_GB2312" w:cs="仿宋_GB2312"/>
                <w:color w:val="000000"/>
                <w:spacing w:val="-20"/>
                <w:sz w:val="24"/>
                <w:szCs w:val="24"/>
              </w:rPr>
              <w:t>）第</w:t>
            </w:r>
            <w:r>
              <w:rPr>
                <w:rFonts w:ascii="仿宋_GB2312" w:hAnsi="仿宋" w:eastAsia="仿宋_GB2312" w:cs="仿宋_GB2312"/>
                <w:color w:val="000000"/>
                <w:spacing w:val="-20"/>
                <w:sz w:val="24"/>
                <w:szCs w:val="24"/>
              </w:rPr>
              <w:t>6</w:t>
            </w:r>
            <w:r>
              <w:rPr>
                <w:rFonts w:hint="eastAsia" w:ascii="仿宋_GB2312" w:hAnsi="仿宋" w:eastAsia="仿宋_GB2312" w:cs="仿宋_GB2312"/>
                <w:color w:val="000000"/>
                <w:spacing w:val="-20"/>
                <w:sz w:val="24"/>
                <w:szCs w:val="24"/>
              </w:rPr>
              <w:t>章</w:t>
            </w:r>
          </w:p>
        </w:tc>
        <w:tc>
          <w:tcPr>
            <w:tcW w:w="1224"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应急</w:t>
            </w:r>
          </w:p>
          <w:p>
            <w:pPr>
              <w:jc w:val="center"/>
              <w:rPr>
                <w:rFonts w:ascii="宋体"/>
                <w:b/>
                <w:bCs/>
                <w:color w:val="000000"/>
                <w:sz w:val="24"/>
                <w:szCs w:val="24"/>
              </w:rPr>
            </w:pPr>
            <w:r>
              <w:rPr>
                <w:rFonts w:hint="eastAsia" w:ascii="仿宋_GB2312" w:hAnsi="仿宋" w:eastAsia="仿宋_GB2312" w:cs="仿宋_GB2312"/>
                <w:color w:val="000000"/>
                <w:spacing w:val="-20"/>
                <w:sz w:val="24"/>
                <w:szCs w:val="24"/>
              </w:rPr>
              <w:t>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、排洪、排渗设施情况；</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、尾矿库在线监测系统运行情况；</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、危、险库停产整改、病库限期整改情况；</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、应急预案备案情况</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40" w:lineRule="exact"/>
              <w:rPr>
                <w:rFonts w:ascii="仿宋_GB2312" w:hAnsi="仿宋"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《尾矿库安全技术规程》（</w:t>
            </w:r>
            <w:r>
              <w:rPr>
                <w:rFonts w:ascii="仿宋_GB2312" w:hAnsi="仿宋" w:eastAsia="仿宋_GB2312" w:cs="仿宋_GB2312"/>
                <w:color w:val="000000"/>
                <w:spacing w:val="-20"/>
                <w:sz w:val="24"/>
                <w:szCs w:val="24"/>
              </w:rPr>
              <w:t>AQ2006-2005</w:t>
            </w:r>
            <w:r>
              <w:rPr>
                <w:rFonts w:hint="eastAsia" w:ascii="仿宋_GB2312" w:hAnsi="仿宋" w:eastAsia="仿宋_GB2312" w:cs="仿宋_GB2312"/>
                <w:color w:val="000000"/>
                <w:spacing w:val="-20"/>
                <w:sz w:val="24"/>
                <w:szCs w:val="24"/>
              </w:rPr>
              <w:t>）第</w:t>
            </w:r>
            <w:r>
              <w:rPr>
                <w:rFonts w:ascii="仿宋_GB2312" w:hAnsi="仿宋" w:eastAsia="仿宋_GB2312" w:cs="仿宋_GB2312"/>
                <w:color w:val="000000"/>
                <w:spacing w:val="-20"/>
                <w:sz w:val="24"/>
                <w:szCs w:val="24"/>
              </w:rPr>
              <w:t>7</w:t>
            </w:r>
            <w:r>
              <w:rPr>
                <w:rFonts w:hint="eastAsia" w:ascii="仿宋_GB2312" w:hAnsi="仿宋" w:eastAsia="仿宋_GB2312" w:cs="仿宋_GB2312"/>
                <w:color w:val="000000"/>
                <w:spacing w:val="-20"/>
                <w:sz w:val="24"/>
                <w:szCs w:val="24"/>
              </w:rPr>
              <w:t>章；第</w:t>
            </w:r>
            <w:r>
              <w:rPr>
                <w:rFonts w:ascii="仿宋_GB2312" w:hAnsi="仿宋" w:eastAsia="仿宋_GB2312" w:cs="仿宋_GB2312"/>
                <w:color w:val="000000"/>
                <w:spacing w:val="-20"/>
                <w:sz w:val="24"/>
                <w:szCs w:val="24"/>
              </w:rPr>
              <w:t>8</w:t>
            </w:r>
            <w:r>
              <w:rPr>
                <w:rFonts w:hint="eastAsia" w:ascii="仿宋_GB2312" w:hAnsi="仿宋" w:eastAsia="仿宋_GB2312" w:cs="仿宋_GB2312"/>
                <w:color w:val="000000"/>
                <w:spacing w:val="-20"/>
                <w:sz w:val="24"/>
                <w:szCs w:val="24"/>
              </w:rPr>
              <w:t>章《尾矿库安全监督管理规定》（国家安全监管总局令第</w:t>
            </w:r>
            <w:r>
              <w:rPr>
                <w:rFonts w:ascii="仿宋_GB2312" w:hAnsi="仿宋" w:eastAsia="仿宋_GB2312" w:cs="仿宋_GB2312"/>
                <w:color w:val="000000"/>
                <w:spacing w:val="-20"/>
                <w:sz w:val="24"/>
                <w:szCs w:val="24"/>
              </w:rPr>
              <w:t>38</w:t>
            </w:r>
            <w:r>
              <w:rPr>
                <w:rFonts w:hint="eastAsia" w:ascii="仿宋_GB2312" w:hAnsi="仿宋" w:eastAsia="仿宋_GB2312" w:cs="仿宋_GB2312"/>
                <w:color w:val="000000"/>
                <w:spacing w:val="-20"/>
                <w:sz w:val="24"/>
                <w:szCs w:val="24"/>
              </w:rPr>
              <w:t>号）；《尾矿库安全监测技术规范》（</w:t>
            </w:r>
            <w:r>
              <w:rPr>
                <w:rFonts w:ascii="仿宋_GB2312" w:hAnsi="仿宋" w:eastAsia="仿宋_GB2312" w:cs="仿宋_GB2312"/>
                <w:color w:val="000000"/>
                <w:spacing w:val="-20"/>
                <w:sz w:val="24"/>
                <w:szCs w:val="24"/>
              </w:rPr>
              <w:t>AQ2030-2010</w:t>
            </w:r>
            <w:r>
              <w:rPr>
                <w:rFonts w:hint="eastAsia" w:ascii="仿宋_GB2312" w:hAnsi="仿宋" w:eastAsia="仿宋_GB2312" w:cs="仿宋_GB2312"/>
                <w:color w:val="000000"/>
                <w:spacing w:val="-20"/>
                <w:sz w:val="24"/>
                <w:szCs w:val="24"/>
              </w:rPr>
              <w:t>）第</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章</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7" w:hRule="atLeast"/>
        </w:trPr>
        <w:tc>
          <w:tcPr>
            <w:tcW w:w="702" w:type="dxa"/>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sz w:val="24"/>
                <w:szCs w:val="24"/>
                <w:lang w:val="en-US" w:eastAsia="zh-CN"/>
              </w:rPr>
            </w:pPr>
            <w:r>
              <w:rPr>
                <w:rFonts w:hint="eastAsia" w:ascii="仿宋_GB2312" w:hAnsi="仿宋" w:eastAsia="仿宋_GB2312"/>
                <w:color w:val="000000"/>
                <w:spacing w:val="-20"/>
                <w:sz w:val="24"/>
                <w:szCs w:val="24"/>
                <w:lang w:val="en-US" w:eastAsia="zh-CN"/>
              </w:rPr>
              <w:t>32</w:t>
            </w:r>
          </w:p>
        </w:tc>
        <w:tc>
          <w:tcPr>
            <w:tcW w:w="122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化工企业和危险化学品生产、经营（带仓储设施）企业检查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、人员和资质管理情况</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、工艺管理情况</w:t>
            </w:r>
          </w:p>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、设备设施管理情况</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、危险化学品安全技术说明书、安全标签及储存管理情况</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生产单位、经营单位</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40" w:lineRule="exact"/>
              <w:rPr>
                <w:rFonts w:ascii="仿宋_GB2312" w:hAnsi="仿宋"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安全生产法》第十八条、第十九条、第二十四条、第二十五条、第三十三条、第三十五条、第三十八条、第二十七条、第四十六条、第五十四条《危险化学品安全管理条例》第十四条、第二十九条、第三十三条《危险化学品生产企业安全生产许可证实施办法》（国家安全监管总局令第</w:t>
            </w:r>
            <w:r>
              <w:rPr>
                <w:rFonts w:ascii="仿宋_GB2312" w:hAnsi="仿宋" w:eastAsia="仿宋_GB2312" w:cs="仿宋_GB2312"/>
                <w:color w:val="000000"/>
                <w:spacing w:val="-20"/>
                <w:sz w:val="24"/>
                <w:szCs w:val="24"/>
              </w:rPr>
              <w:t>41</w:t>
            </w:r>
            <w:r>
              <w:rPr>
                <w:rFonts w:hint="eastAsia" w:ascii="仿宋_GB2312" w:hAnsi="仿宋" w:eastAsia="仿宋_GB2312" w:cs="仿宋_GB2312"/>
                <w:color w:val="000000"/>
                <w:spacing w:val="-20"/>
                <w:sz w:val="24"/>
                <w:szCs w:val="24"/>
              </w:rPr>
              <w:t>号）《危险化学品安全管理条例》第十五条、第二十四条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7" w:hRule="atLeast"/>
        </w:trPr>
        <w:tc>
          <w:tcPr>
            <w:tcW w:w="702" w:type="dxa"/>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sz w:val="24"/>
                <w:szCs w:val="24"/>
                <w:lang w:val="en-US" w:eastAsia="zh-CN"/>
              </w:rPr>
            </w:pPr>
            <w:r>
              <w:rPr>
                <w:rFonts w:hint="eastAsia" w:ascii="仿宋_GB2312" w:hAnsi="仿宋" w:eastAsia="仿宋_GB2312"/>
                <w:color w:val="000000"/>
                <w:spacing w:val="-20"/>
                <w:sz w:val="24"/>
                <w:szCs w:val="24"/>
                <w:lang w:val="en-US" w:eastAsia="zh-CN"/>
              </w:rPr>
              <w:t>33</w:t>
            </w:r>
          </w:p>
        </w:tc>
        <w:tc>
          <w:tcPr>
            <w:tcW w:w="122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非药品易制毒化学品生产、经营企业检查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、许可（备案）条件保持情况</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、报告生产、经营的非药品类易制毒化学品的品种、数量和主要流向等情况</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生产单位、经营单位</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40" w:lineRule="exact"/>
              <w:rPr>
                <w:rFonts w:ascii="仿宋_GB2312" w:hAnsi="仿宋"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280" w:lineRule="exact"/>
              <w:rPr>
                <w:rFonts w:ascii="仿宋_GB2312" w:hAnsi="仿宋" w:eastAsia="仿宋_GB2312" w:cs="仿宋_GB2312"/>
                <w:color w:val="000000"/>
                <w:spacing w:val="-20"/>
                <w:sz w:val="24"/>
                <w:szCs w:val="24"/>
              </w:rPr>
            </w:pPr>
            <w:r>
              <w:rPr>
                <w:rFonts w:hint="eastAsia" w:ascii="仿宋_GB2312" w:hAnsi="仿宋" w:eastAsia="仿宋_GB2312" w:cs="仿宋_GB2312"/>
                <w:color w:val="000000"/>
                <w:spacing w:val="-20"/>
                <w:sz w:val="24"/>
                <w:szCs w:val="24"/>
              </w:rPr>
              <w:t>《易制毒化学品管理条例》第七条、第八条、第九条、第十条、第十一条、第十二条、第十三条、第三十二条；《非药品类易制毒化学品生产、经营许可办法》</w:t>
            </w:r>
            <w:r>
              <w:rPr>
                <w:rFonts w:ascii="仿宋_GB2312" w:hAnsi="仿宋" w:eastAsia="仿宋_GB2312" w:cs="仿宋_GB2312"/>
                <w:color w:val="000000"/>
                <w:spacing w:val="-20"/>
                <w:sz w:val="24"/>
                <w:szCs w:val="24"/>
              </w:rPr>
              <w:t>(</w:t>
            </w:r>
            <w:r>
              <w:rPr>
                <w:rFonts w:hint="eastAsia" w:ascii="仿宋_GB2312" w:hAnsi="仿宋" w:eastAsia="仿宋_GB2312" w:cs="仿宋_GB2312"/>
                <w:color w:val="000000"/>
                <w:spacing w:val="-20"/>
                <w:sz w:val="24"/>
                <w:szCs w:val="24"/>
              </w:rPr>
              <w:t>国家安全监管总局令第</w:t>
            </w:r>
            <w:r>
              <w:rPr>
                <w:rFonts w:ascii="仿宋_GB2312" w:hAnsi="仿宋" w:eastAsia="仿宋_GB2312" w:cs="仿宋_GB2312"/>
                <w:color w:val="000000"/>
                <w:spacing w:val="-20"/>
                <w:sz w:val="24"/>
                <w:szCs w:val="24"/>
              </w:rPr>
              <w:t>5</w:t>
            </w:r>
            <w:r>
              <w:rPr>
                <w:rFonts w:hint="eastAsia" w:ascii="仿宋_GB2312" w:hAnsi="仿宋" w:eastAsia="仿宋_GB2312" w:cs="仿宋_GB2312"/>
                <w:color w:val="000000"/>
                <w:spacing w:val="-20"/>
                <w:sz w:val="24"/>
                <w:szCs w:val="24"/>
              </w:rPr>
              <w:t>号</w:t>
            </w:r>
            <w:r>
              <w:rPr>
                <w:rFonts w:ascii="仿宋_GB2312" w:hAnsi="仿宋" w:eastAsia="仿宋_GB2312" w:cs="仿宋_GB2312"/>
                <w:color w:val="000000"/>
                <w:spacing w:val="-20"/>
                <w:sz w:val="24"/>
                <w:szCs w:val="24"/>
              </w:rPr>
              <w:t>)</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3" w:hRule="atLeast"/>
        </w:trPr>
        <w:tc>
          <w:tcPr>
            <w:tcW w:w="702" w:type="dxa"/>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sz w:val="24"/>
                <w:szCs w:val="24"/>
                <w:lang w:val="en-US" w:eastAsia="zh-CN"/>
              </w:rPr>
            </w:pPr>
            <w:r>
              <w:rPr>
                <w:rFonts w:hint="eastAsia" w:ascii="仿宋_GB2312" w:hAnsi="仿宋" w:eastAsia="仿宋_GB2312"/>
                <w:color w:val="000000"/>
                <w:spacing w:val="-20"/>
                <w:sz w:val="24"/>
                <w:szCs w:val="24"/>
                <w:lang w:val="en-US" w:eastAsia="zh-CN"/>
              </w:rPr>
              <w:t>34</w:t>
            </w:r>
          </w:p>
        </w:tc>
        <w:tc>
          <w:tcPr>
            <w:tcW w:w="122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烟花爆竹生产、经营企业检查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、生产许可条件保持情况</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、生产活动情况；</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、批发许可条件保持情况；</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、零售许可条件保持情况；</w:t>
            </w:r>
            <w:r>
              <w:rPr>
                <w:rFonts w:ascii="仿宋_GB2312" w:hAnsi="仿宋" w:eastAsia="仿宋_GB2312" w:cs="仿宋_GB2312"/>
                <w:color w:val="000000"/>
                <w:spacing w:val="-20"/>
                <w:sz w:val="24"/>
                <w:szCs w:val="24"/>
              </w:rPr>
              <w:t>5</w:t>
            </w:r>
            <w:r>
              <w:rPr>
                <w:rFonts w:hint="eastAsia" w:ascii="仿宋_GB2312" w:hAnsi="仿宋" w:eastAsia="仿宋_GB2312" w:cs="仿宋_GB2312"/>
                <w:color w:val="000000"/>
                <w:spacing w:val="-20"/>
                <w:sz w:val="24"/>
                <w:szCs w:val="24"/>
              </w:rPr>
              <w:t>、经营活动情况</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生产单位、经营单位</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一般</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检查事项</w:t>
            </w:r>
          </w:p>
        </w:tc>
        <w:tc>
          <w:tcPr>
            <w:tcW w:w="1267" w:type="dxa"/>
            <w:vMerge w:val="restart"/>
            <w:vAlign w:val="center"/>
          </w:tcPr>
          <w:p>
            <w:pPr>
              <w:kinsoku w:val="0"/>
              <w:overflowPunct w:val="0"/>
              <w:autoSpaceDE w:val="0"/>
              <w:autoSpaceDN w:val="0"/>
              <w:adjustRightInd w:val="0"/>
              <w:snapToGrid w:val="0"/>
              <w:spacing w:line="340" w:lineRule="exact"/>
              <w:rPr>
                <w:rFonts w:ascii="仿宋_GB2312" w:hAnsi="仿宋" w:eastAsia="仿宋_GB2312"/>
                <w:color w:val="000000"/>
                <w:spacing w:val="-20"/>
                <w:sz w:val="24"/>
                <w:szCs w:val="24"/>
              </w:rPr>
            </w:pPr>
            <w:r>
              <w:rPr>
                <w:rFonts w:hint="eastAsia" w:ascii="仿宋_GB2312" w:hAnsi="黑体" w:eastAsia="仿宋_GB2312" w:cs="仿宋_GB2312"/>
                <w:color w:val="000000"/>
                <w:spacing w:val="-20"/>
                <w:kern w:val="0"/>
                <w:sz w:val="24"/>
                <w:szCs w:val="24"/>
              </w:rPr>
              <w:t>书面检查、</w:t>
            </w:r>
            <w:r>
              <w:rPr>
                <w:rFonts w:hint="eastAsia" w:ascii="仿宋_GB2312" w:eastAsia="仿宋_GB2312" w:cs="仿宋_GB2312"/>
                <w:color w:val="000000"/>
                <w:spacing w:val="-20"/>
                <w:sz w:val="24"/>
                <w:szCs w:val="24"/>
              </w:rPr>
              <w:t>实地核查</w:t>
            </w:r>
            <w:r>
              <w:rPr>
                <w:rFonts w:hint="eastAsia" w:ascii="仿宋_GB2312" w:hAnsi="黑体" w:eastAsia="仿宋_GB2312" w:cs="仿宋_GB2312"/>
                <w:color w:val="000000"/>
                <w:spacing w:val="-20"/>
                <w:kern w:val="0"/>
                <w:sz w:val="24"/>
                <w:szCs w:val="24"/>
              </w:rPr>
              <w:t>、网络监测</w:t>
            </w:r>
          </w:p>
        </w:tc>
        <w:tc>
          <w:tcPr>
            <w:tcW w:w="4407" w:type="dxa"/>
            <w:vAlign w:val="center"/>
          </w:tcPr>
          <w:p>
            <w:pPr>
              <w:kinsoku w:val="0"/>
              <w:overflowPunct w:val="0"/>
              <w:autoSpaceDE w:val="0"/>
              <w:autoSpaceDN w:val="0"/>
              <w:adjustRightInd w:val="0"/>
              <w:snapToGrid w:val="0"/>
              <w:spacing w:line="2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《烟花爆竹安全管理条例》第八条、第十条至第十五条，第十七条、第十八条、第二十条、第二十一条；；《烟花爆竹生产企业安全生产许可证实施办法》（国家安全监管总局令第</w:t>
            </w:r>
            <w:r>
              <w:rPr>
                <w:rFonts w:ascii="仿宋_GB2312" w:hAnsi="仿宋" w:eastAsia="仿宋_GB2312" w:cs="仿宋_GB2312"/>
                <w:color w:val="000000"/>
                <w:spacing w:val="-20"/>
                <w:sz w:val="24"/>
                <w:szCs w:val="24"/>
              </w:rPr>
              <w:t>54</w:t>
            </w:r>
            <w:r>
              <w:rPr>
                <w:rFonts w:hint="eastAsia" w:ascii="仿宋_GB2312" w:hAnsi="仿宋" w:eastAsia="仿宋_GB2312" w:cs="仿宋_GB2312"/>
                <w:color w:val="000000"/>
                <w:spacing w:val="-20"/>
                <w:sz w:val="24"/>
                <w:szCs w:val="24"/>
              </w:rPr>
              <w:t>号）；《烟花爆竹安全管理条例》第十条至第十五条，第二十一条；《烟花爆竹经营许可证实施办法》（国家安全监管总局令第</w:t>
            </w:r>
            <w:r>
              <w:rPr>
                <w:rFonts w:ascii="仿宋_GB2312" w:hAnsi="仿宋" w:eastAsia="仿宋_GB2312" w:cs="仿宋_GB2312"/>
                <w:color w:val="000000"/>
                <w:spacing w:val="-20"/>
                <w:sz w:val="24"/>
                <w:szCs w:val="24"/>
              </w:rPr>
              <w:t>65</w:t>
            </w:r>
            <w:r>
              <w:rPr>
                <w:rFonts w:hint="eastAsia" w:ascii="仿宋_GB2312" w:hAnsi="仿宋" w:eastAsia="仿宋_GB2312" w:cs="仿宋_GB2312"/>
                <w:color w:val="000000"/>
                <w:spacing w:val="-20"/>
                <w:sz w:val="24"/>
                <w:szCs w:val="24"/>
              </w:rPr>
              <w:t>号）</w:t>
            </w:r>
          </w:p>
        </w:tc>
        <w:tc>
          <w:tcPr>
            <w:tcW w:w="1224"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应急</w:t>
            </w:r>
          </w:p>
          <w:p>
            <w:pPr>
              <w:jc w:val="center"/>
              <w:rPr>
                <w:rFonts w:ascii="宋体"/>
                <w:b/>
                <w:bCs/>
                <w:color w:val="000000"/>
                <w:sz w:val="24"/>
                <w:szCs w:val="24"/>
              </w:rPr>
            </w:pPr>
            <w:r>
              <w:rPr>
                <w:rFonts w:hint="eastAsia" w:ascii="仿宋_GB2312" w:hAnsi="仿宋" w:eastAsia="仿宋_GB2312" w:cs="仿宋_GB2312"/>
                <w:color w:val="000000"/>
                <w:spacing w:val="-20"/>
                <w:sz w:val="24"/>
                <w:szCs w:val="24"/>
              </w:rPr>
              <w:t>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2"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sz w:val="24"/>
                <w:szCs w:val="24"/>
                <w:lang w:val="en-US" w:eastAsia="zh-CN"/>
              </w:rPr>
            </w:pPr>
            <w:r>
              <w:rPr>
                <w:rFonts w:hint="eastAsia" w:ascii="仿宋_GB2312" w:hAnsi="仿宋" w:eastAsia="仿宋_GB2312"/>
                <w:color w:val="000000"/>
                <w:spacing w:val="-20"/>
                <w:sz w:val="24"/>
                <w:szCs w:val="24"/>
                <w:lang w:val="en-US" w:eastAsia="zh-CN"/>
              </w:rPr>
              <w:t>35</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12"/>
                <w:sz w:val="24"/>
                <w:szCs w:val="24"/>
              </w:rPr>
            </w:pPr>
            <w:r>
              <w:rPr>
                <w:rFonts w:hint="eastAsia" w:ascii="仿宋_GB2312" w:hAnsi="仿宋" w:eastAsia="仿宋_GB2312" w:cs="仿宋_GB2312"/>
                <w:color w:val="000000"/>
                <w:spacing w:val="-12"/>
                <w:sz w:val="24"/>
                <w:szCs w:val="24"/>
              </w:rPr>
              <w:t>工贸企业检查</w:t>
            </w:r>
          </w:p>
        </w:tc>
        <w:tc>
          <w:tcPr>
            <w:tcW w:w="3568"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、安全生产管理机构设置情况</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、主要负责人和安全生产管理人员考核情况</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、较大危险因素辨识管控措施的落实情况</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、新、改、扩建项目安全设施三同时履行情况</w:t>
            </w:r>
            <w:r>
              <w:rPr>
                <w:rFonts w:ascii="仿宋_GB2312" w:hAnsi="仿宋" w:eastAsia="仿宋_GB2312" w:cs="仿宋_GB2312"/>
                <w:color w:val="000000"/>
                <w:spacing w:val="-20"/>
                <w:sz w:val="24"/>
                <w:szCs w:val="24"/>
              </w:rPr>
              <w:t>;5</w:t>
            </w:r>
            <w:r>
              <w:rPr>
                <w:rFonts w:hint="eastAsia" w:ascii="仿宋_GB2312" w:hAnsi="仿宋" w:eastAsia="仿宋_GB2312" w:cs="仿宋_GB2312"/>
                <w:color w:val="000000"/>
                <w:spacing w:val="-20"/>
                <w:sz w:val="24"/>
                <w:szCs w:val="24"/>
              </w:rPr>
              <w:t>、特种作业人员持证上岗情况</w:t>
            </w:r>
            <w:r>
              <w:rPr>
                <w:rFonts w:ascii="仿宋_GB2312" w:hAnsi="仿宋" w:eastAsia="仿宋_GB2312" w:cs="仿宋_GB2312"/>
                <w:color w:val="000000"/>
                <w:spacing w:val="-20"/>
                <w:sz w:val="24"/>
                <w:szCs w:val="24"/>
              </w:rPr>
              <w:t>;6</w:t>
            </w:r>
            <w:r>
              <w:rPr>
                <w:rFonts w:hint="eastAsia" w:ascii="仿宋_GB2312" w:hAnsi="仿宋" w:eastAsia="仿宋_GB2312" w:cs="仿宋_GB2312"/>
                <w:color w:val="000000"/>
                <w:spacing w:val="-20"/>
                <w:sz w:val="24"/>
                <w:szCs w:val="24"/>
              </w:rPr>
              <w:t>、粉尘爆炸危险场所的设置情况</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工贸企业</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40" w:lineRule="exact"/>
              <w:rPr>
                <w:rFonts w:ascii="仿宋_GB2312" w:hAnsi="仿宋"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8"/>
                <w:sz w:val="24"/>
                <w:szCs w:val="24"/>
              </w:rPr>
              <w:t>《安全生产法》第二十一条、第二十三条、第三十二条、第三十条、《特种作业人员安全技术培训考核管理规定》（国家安全监管总局令第</w:t>
            </w:r>
            <w:r>
              <w:rPr>
                <w:rFonts w:ascii="仿宋_GB2312" w:hAnsi="仿宋" w:eastAsia="仿宋_GB2312" w:cs="仿宋_GB2312"/>
                <w:color w:val="000000"/>
                <w:spacing w:val="-28"/>
                <w:sz w:val="24"/>
                <w:szCs w:val="24"/>
              </w:rPr>
              <w:t>30</w:t>
            </w:r>
            <w:r>
              <w:rPr>
                <w:rFonts w:hint="eastAsia" w:ascii="仿宋_GB2312" w:hAnsi="仿宋" w:eastAsia="仿宋_GB2312" w:cs="仿宋_GB2312"/>
                <w:color w:val="000000"/>
                <w:spacing w:val="-28"/>
                <w:sz w:val="24"/>
                <w:szCs w:val="24"/>
              </w:rPr>
              <w:t>号）《建筑设计防火规范》（</w:t>
            </w:r>
            <w:r>
              <w:rPr>
                <w:rFonts w:ascii="仿宋_GB2312" w:hAnsi="仿宋" w:eastAsia="仿宋_GB2312" w:cs="仿宋_GB2312"/>
                <w:color w:val="000000"/>
                <w:spacing w:val="-28"/>
                <w:sz w:val="24"/>
                <w:szCs w:val="24"/>
              </w:rPr>
              <w:t>GB50016-2014</w:t>
            </w:r>
            <w:r>
              <w:rPr>
                <w:rFonts w:hint="eastAsia" w:ascii="仿宋_GB2312" w:hAnsi="仿宋" w:eastAsia="仿宋_GB2312" w:cs="仿宋_GB2312"/>
                <w:color w:val="000000"/>
                <w:spacing w:val="-28"/>
                <w:sz w:val="24"/>
                <w:szCs w:val="24"/>
              </w:rPr>
              <w:t>）</w:t>
            </w:r>
            <w:r>
              <w:rPr>
                <w:rFonts w:ascii="仿宋_GB2312" w:hAnsi="仿宋" w:eastAsia="仿宋_GB2312" w:cs="仿宋_GB2312"/>
                <w:color w:val="000000"/>
                <w:spacing w:val="-28"/>
                <w:sz w:val="24"/>
                <w:szCs w:val="24"/>
              </w:rPr>
              <w:t>3.6.1</w:t>
            </w:r>
            <w:r>
              <w:rPr>
                <w:rFonts w:hint="eastAsia" w:ascii="仿宋_GB2312" w:hAnsi="仿宋" w:eastAsia="仿宋_GB2312" w:cs="仿宋_GB2312"/>
                <w:color w:val="000000"/>
                <w:spacing w:val="-28"/>
                <w:sz w:val="24"/>
                <w:szCs w:val="24"/>
              </w:rPr>
              <w:t>；《粉尘防爆安全规程》（</w:t>
            </w:r>
            <w:r>
              <w:rPr>
                <w:rFonts w:ascii="仿宋_GB2312" w:hAnsi="仿宋" w:eastAsia="仿宋_GB2312" w:cs="仿宋_GB2312"/>
                <w:color w:val="000000"/>
                <w:spacing w:val="-28"/>
                <w:sz w:val="24"/>
                <w:szCs w:val="24"/>
              </w:rPr>
              <w:t>GB15577-2007</w:t>
            </w:r>
            <w:r>
              <w:rPr>
                <w:rFonts w:hint="eastAsia" w:ascii="仿宋_GB2312" w:hAnsi="仿宋" w:eastAsia="仿宋_GB2312" w:cs="仿宋_GB2312"/>
                <w:color w:val="000000"/>
                <w:spacing w:val="-28"/>
                <w:sz w:val="24"/>
                <w:szCs w:val="24"/>
              </w:rPr>
              <w:t>）</w:t>
            </w:r>
            <w:r>
              <w:rPr>
                <w:rFonts w:ascii="仿宋_GB2312" w:hAnsi="仿宋" w:eastAsia="仿宋_GB2312" w:cs="仿宋_GB2312"/>
                <w:color w:val="000000"/>
                <w:spacing w:val="-28"/>
                <w:sz w:val="24"/>
                <w:szCs w:val="24"/>
              </w:rPr>
              <w:t>5.1</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12"/>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、除尘系统的安全技术状况</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、防爆电气设备设施的使用情况</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、粉尘清扫情况</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、粉碎、研磨、造粒等易于产生机械点火源的工艺前去除异物装置设置情况</w:t>
            </w:r>
            <w:r>
              <w:rPr>
                <w:rFonts w:ascii="仿宋_GB2312" w:hAnsi="仿宋" w:eastAsia="仿宋_GB2312" w:cs="仿宋_GB2312"/>
                <w:color w:val="000000"/>
                <w:spacing w:val="-20"/>
                <w:sz w:val="24"/>
                <w:szCs w:val="24"/>
              </w:rPr>
              <w:t>;5</w:t>
            </w:r>
            <w:r>
              <w:rPr>
                <w:rFonts w:hint="eastAsia" w:ascii="仿宋_GB2312" w:hAnsi="仿宋" w:eastAsia="仿宋_GB2312" w:cs="仿宋_GB2312"/>
                <w:color w:val="000000"/>
                <w:spacing w:val="-20"/>
                <w:sz w:val="24"/>
                <w:szCs w:val="24"/>
              </w:rPr>
              <w:t>、砂光机风管火花探测报警装置设置情况</w:t>
            </w:r>
            <w:r>
              <w:rPr>
                <w:rFonts w:ascii="仿宋_GB2312" w:hAnsi="仿宋" w:eastAsia="仿宋_GB2312" w:cs="仿宋_GB2312"/>
                <w:color w:val="000000"/>
                <w:spacing w:val="-20"/>
                <w:sz w:val="24"/>
                <w:szCs w:val="24"/>
              </w:rPr>
              <w:t>;6</w:t>
            </w:r>
            <w:r>
              <w:rPr>
                <w:rFonts w:hint="eastAsia" w:ascii="仿宋_GB2312" w:hAnsi="仿宋" w:eastAsia="仿宋_GB2312" w:cs="仿宋_GB2312"/>
                <w:color w:val="000000"/>
                <w:spacing w:val="-20"/>
                <w:sz w:val="24"/>
                <w:szCs w:val="24"/>
              </w:rPr>
              <w:t>、干式除尘系统未规范设置锁气卸灰装置</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40" w:lineRule="exact"/>
              <w:rPr>
                <w:rFonts w:ascii="仿宋_GB2312" w:hAnsi="仿宋"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260" w:lineRule="exact"/>
              <w:rPr>
                <w:rFonts w:ascii="仿宋_GB2312" w:hAnsi="仿宋" w:eastAsia="仿宋_GB2312" w:cs="仿宋_GB2312"/>
                <w:color w:val="000000"/>
                <w:spacing w:val="-20"/>
                <w:sz w:val="24"/>
                <w:szCs w:val="24"/>
              </w:rPr>
            </w:pPr>
            <w:r>
              <w:rPr>
                <w:rFonts w:hint="eastAsia" w:ascii="仿宋_GB2312" w:hAnsi="仿宋" w:eastAsia="仿宋_GB2312" w:cs="仿宋_GB2312"/>
                <w:color w:val="000000"/>
                <w:spacing w:val="-20"/>
                <w:sz w:val="24"/>
                <w:szCs w:val="24"/>
              </w:rPr>
              <w:t>《粉尘防爆安全规程》（</w:t>
            </w:r>
            <w:r>
              <w:rPr>
                <w:rFonts w:ascii="仿宋_GB2312" w:hAnsi="仿宋" w:eastAsia="仿宋_GB2312" w:cs="仿宋_GB2312"/>
                <w:color w:val="000000"/>
                <w:spacing w:val="-20"/>
                <w:sz w:val="24"/>
                <w:szCs w:val="24"/>
              </w:rPr>
              <w:t>GB 15577-2007</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5.1</w:t>
            </w:r>
            <w:r>
              <w:rPr>
                <w:rFonts w:hint="eastAsia" w:ascii="仿宋_GB2312" w:hAnsi="仿宋" w:eastAsia="仿宋_GB2312" w:cs="仿宋_GB2312"/>
                <w:color w:val="000000"/>
                <w:spacing w:val="-20"/>
                <w:sz w:val="24"/>
                <w:szCs w:val="24"/>
              </w:rPr>
              <w:t>《粉尘防爆安全规程》（</w:t>
            </w:r>
            <w:r>
              <w:rPr>
                <w:rFonts w:ascii="仿宋_GB2312" w:hAnsi="仿宋" w:eastAsia="仿宋_GB2312" w:cs="仿宋_GB2312"/>
                <w:color w:val="000000"/>
                <w:spacing w:val="-20"/>
                <w:sz w:val="24"/>
                <w:szCs w:val="24"/>
              </w:rPr>
              <w:t>GB 15577-2007</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6.5</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6.6.1</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 xml:space="preserve">7.3 </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7.4</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7.5</w:t>
            </w:r>
            <w:r>
              <w:rPr>
                <w:rFonts w:hint="eastAsia" w:ascii="仿宋_GB2312" w:hAnsi="仿宋" w:eastAsia="仿宋_GB2312" w:cs="仿宋_GB2312"/>
                <w:color w:val="000000"/>
                <w:spacing w:val="-20"/>
                <w:sz w:val="24"/>
                <w:szCs w:val="24"/>
              </w:rPr>
              <w:t>《工业建筑供暖通风与空气调节设计规范》</w:t>
            </w:r>
            <w:r>
              <w:rPr>
                <w:rFonts w:ascii="仿宋_GB2312" w:hAnsi="仿宋" w:eastAsia="仿宋_GB2312" w:cs="仿宋_GB2312"/>
                <w:color w:val="000000"/>
                <w:spacing w:val="-20"/>
                <w:sz w:val="24"/>
                <w:szCs w:val="24"/>
              </w:rPr>
              <w:t xml:space="preserve"> </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GB 50019-2015</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 xml:space="preserve"> 6.9.13</w:t>
            </w:r>
          </w:p>
          <w:p>
            <w:pPr>
              <w:kinsoku w:val="0"/>
              <w:overflowPunct w:val="0"/>
              <w:autoSpaceDE w:val="0"/>
              <w:autoSpaceDN w:val="0"/>
              <w:adjustRightInd w:val="0"/>
              <w:snapToGrid w:val="0"/>
              <w:spacing w:line="260" w:lineRule="exact"/>
              <w:rPr>
                <w:rFonts w:ascii="仿宋_GB2312" w:hAnsi="仿宋" w:eastAsia="仿宋_GB2312" w:cs="仿宋_GB2312"/>
                <w:color w:val="000000"/>
                <w:spacing w:val="-20"/>
                <w:sz w:val="24"/>
                <w:szCs w:val="24"/>
              </w:rPr>
            </w:pPr>
            <w:r>
              <w:rPr>
                <w:rFonts w:hint="eastAsia" w:ascii="仿宋_GB2312" w:hAnsi="仿宋" w:eastAsia="仿宋_GB2312" w:cs="仿宋_GB2312"/>
                <w:color w:val="000000"/>
                <w:spacing w:val="-20"/>
                <w:sz w:val="24"/>
                <w:szCs w:val="24"/>
              </w:rPr>
              <w:t>《建筑设计防火规范》（</w:t>
            </w:r>
            <w:r>
              <w:rPr>
                <w:rFonts w:ascii="仿宋_GB2312" w:hAnsi="仿宋" w:eastAsia="仿宋_GB2312" w:cs="仿宋_GB2312"/>
                <w:color w:val="000000"/>
                <w:spacing w:val="-20"/>
                <w:sz w:val="24"/>
                <w:szCs w:val="24"/>
              </w:rPr>
              <w:t>GB 50016-2014</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9.3.8</w:t>
            </w:r>
            <w:r>
              <w:rPr>
                <w:rFonts w:hint="eastAsia" w:ascii="仿宋_GB2312" w:hAnsi="仿宋" w:eastAsia="仿宋_GB2312" w:cs="仿宋_GB2312"/>
                <w:color w:val="000000"/>
                <w:spacing w:val="-20"/>
                <w:sz w:val="24"/>
                <w:szCs w:val="24"/>
              </w:rPr>
              <w:t>《爆炸危险环境电力装置设计规范》</w:t>
            </w:r>
            <w:r>
              <w:rPr>
                <w:rFonts w:ascii="仿宋_GB2312" w:hAnsi="仿宋" w:eastAsia="仿宋_GB2312" w:cs="仿宋_GB2312"/>
                <w:color w:val="000000"/>
                <w:spacing w:val="-20"/>
                <w:sz w:val="24"/>
                <w:szCs w:val="24"/>
              </w:rPr>
              <w:t>5.2.1</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5.2.2</w:t>
            </w:r>
            <w:r>
              <w:rPr>
                <w:rFonts w:hint="eastAsia" w:ascii="仿宋_GB2312" w:hAnsi="仿宋" w:eastAsia="仿宋_GB2312" w:cs="仿宋_GB2312"/>
                <w:color w:val="000000"/>
                <w:spacing w:val="-20"/>
                <w:sz w:val="24"/>
                <w:szCs w:val="24"/>
              </w:rPr>
              <w:t>和</w:t>
            </w:r>
            <w:r>
              <w:rPr>
                <w:rFonts w:ascii="仿宋_GB2312" w:hAnsi="仿宋" w:eastAsia="仿宋_GB2312" w:cs="仿宋_GB2312"/>
                <w:color w:val="000000"/>
                <w:spacing w:val="-20"/>
                <w:sz w:val="24"/>
                <w:szCs w:val="24"/>
              </w:rPr>
              <w:t>5.2.3</w:t>
            </w:r>
            <w:r>
              <w:rPr>
                <w:rFonts w:hint="eastAsia" w:ascii="仿宋_GB2312" w:hAnsi="仿宋" w:eastAsia="仿宋_GB2312" w:cs="仿宋_GB2312"/>
                <w:color w:val="000000"/>
                <w:spacing w:val="-20"/>
                <w:sz w:val="24"/>
                <w:szCs w:val="24"/>
              </w:rPr>
              <w:t>《粉尘防爆安全规程》（</w:t>
            </w:r>
            <w:r>
              <w:rPr>
                <w:rFonts w:ascii="仿宋_GB2312" w:hAnsi="仿宋" w:eastAsia="仿宋_GB2312" w:cs="仿宋_GB2312"/>
                <w:color w:val="000000"/>
                <w:spacing w:val="-20"/>
                <w:sz w:val="24"/>
                <w:szCs w:val="24"/>
              </w:rPr>
              <w:t>GB 15577-2007</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8.3.1</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8.3.2</w:t>
            </w:r>
          </w:p>
          <w:p>
            <w:pPr>
              <w:kinsoku w:val="0"/>
              <w:overflowPunct w:val="0"/>
              <w:autoSpaceDE w:val="0"/>
              <w:autoSpaceDN w:val="0"/>
              <w:adjustRightInd w:val="0"/>
              <w:snapToGrid w:val="0"/>
              <w:spacing w:line="260" w:lineRule="exact"/>
              <w:rPr>
                <w:rFonts w:ascii="仿宋_GB2312" w:hAnsi="仿宋" w:eastAsia="仿宋_GB2312" w:cs="仿宋_GB2312"/>
                <w:color w:val="000000"/>
                <w:spacing w:val="-20"/>
                <w:sz w:val="24"/>
                <w:szCs w:val="24"/>
              </w:rPr>
            </w:pPr>
            <w:r>
              <w:rPr>
                <w:rFonts w:hint="eastAsia" w:ascii="仿宋_GB2312" w:hAnsi="仿宋" w:eastAsia="仿宋_GB2312" w:cs="仿宋_GB2312"/>
                <w:color w:val="000000"/>
                <w:spacing w:val="-20"/>
                <w:sz w:val="24"/>
                <w:szCs w:val="24"/>
              </w:rPr>
              <w:t>《粉尘防爆安全规程》（</w:t>
            </w:r>
            <w:r>
              <w:rPr>
                <w:rFonts w:ascii="仿宋_GB2312" w:hAnsi="仿宋" w:eastAsia="仿宋_GB2312" w:cs="仿宋_GB2312"/>
                <w:color w:val="000000"/>
                <w:spacing w:val="-20"/>
                <w:sz w:val="24"/>
                <w:szCs w:val="24"/>
              </w:rPr>
              <w:t>GB 15577-2007</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6.4.2</w:t>
            </w:r>
            <w:r>
              <w:rPr>
                <w:rFonts w:hint="eastAsia" w:ascii="仿宋_GB2312" w:hAnsi="仿宋" w:eastAsia="仿宋_GB2312" w:cs="仿宋_GB2312"/>
                <w:color w:val="000000"/>
                <w:spacing w:val="-20"/>
                <w:sz w:val="24"/>
                <w:szCs w:val="24"/>
              </w:rPr>
              <w:t>《木材加工系统粉尘防爆安全规范》（</w:t>
            </w:r>
            <w:r>
              <w:rPr>
                <w:rFonts w:ascii="仿宋_GB2312" w:hAnsi="仿宋" w:eastAsia="仿宋_GB2312" w:cs="仿宋_GB2312"/>
                <w:color w:val="000000"/>
                <w:spacing w:val="-20"/>
                <w:sz w:val="24"/>
                <w:szCs w:val="24"/>
              </w:rPr>
              <w:t>AQ 4228-2012</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6.2.1.2</w:t>
            </w:r>
            <w:r>
              <w:rPr>
                <w:rFonts w:hint="eastAsia" w:ascii="仿宋_GB2312" w:hAnsi="仿宋" w:eastAsia="仿宋_GB2312" w:cs="仿宋_GB2312"/>
                <w:color w:val="000000"/>
                <w:spacing w:val="-20"/>
                <w:sz w:val="24"/>
                <w:szCs w:val="24"/>
              </w:rPr>
              <w:t>《粉尘防爆安全规程》（</w:t>
            </w:r>
            <w:r>
              <w:rPr>
                <w:rFonts w:ascii="仿宋_GB2312" w:hAnsi="仿宋" w:eastAsia="仿宋_GB2312" w:cs="仿宋_GB2312"/>
                <w:color w:val="000000"/>
                <w:spacing w:val="-20"/>
                <w:sz w:val="24"/>
                <w:szCs w:val="24"/>
              </w:rPr>
              <w:t>GB 15577-2007</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6.6.4</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3" w:hRule="atLeast"/>
        </w:trPr>
        <w:tc>
          <w:tcPr>
            <w:tcW w:w="702" w:type="dxa"/>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sz w:val="24"/>
                <w:szCs w:val="24"/>
                <w:lang w:val="en-US" w:eastAsia="zh-CN"/>
              </w:rPr>
            </w:pPr>
            <w:r>
              <w:rPr>
                <w:rFonts w:hint="eastAsia" w:ascii="仿宋_GB2312" w:hAnsi="仿宋" w:eastAsia="仿宋_GB2312"/>
                <w:color w:val="000000"/>
                <w:spacing w:val="-20"/>
                <w:sz w:val="24"/>
                <w:szCs w:val="24"/>
                <w:lang w:val="en-US" w:eastAsia="zh-CN"/>
              </w:rPr>
              <w:t>36</w:t>
            </w:r>
          </w:p>
        </w:tc>
        <w:tc>
          <w:tcPr>
            <w:tcW w:w="122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12"/>
                <w:sz w:val="24"/>
                <w:szCs w:val="24"/>
              </w:rPr>
            </w:pPr>
            <w:r>
              <w:rPr>
                <w:rFonts w:hint="eastAsia" w:ascii="仿宋_GB2312" w:hAnsi="仿宋" w:eastAsia="仿宋_GB2312" w:cs="仿宋_GB2312"/>
                <w:color w:val="000000"/>
                <w:spacing w:val="-12"/>
                <w:sz w:val="24"/>
                <w:szCs w:val="24"/>
              </w:rPr>
              <w:t>工贸企业检查</w:t>
            </w:r>
          </w:p>
        </w:tc>
        <w:tc>
          <w:tcPr>
            <w:tcW w:w="3568" w:type="dxa"/>
            <w:vAlign w:val="center"/>
          </w:tcPr>
          <w:p>
            <w:pPr>
              <w:kinsoku w:val="0"/>
              <w:overflowPunct w:val="0"/>
              <w:autoSpaceDE w:val="0"/>
              <w:autoSpaceDN w:val="0"/>
              <w:adjustRightInd w:val="0"/>
              <w:snapToGrid w:val="0"/>
              <w:spacing w:line="26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、包装间、切割室、产品整理间等人员较多场所空调系统的制冷方式；</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、构成重大危险源的储氨单元的登记建档情况；</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、有限空间作业场所安全警示标志的设置情况；</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、有限空间作业审批制度的落实情况；</w:t>
            </w:r>
            <w:r>
              <w:rPr>
                <w:rFonts w:ascii="仿宋_GB2312" w:hAnsi="仿宋" w:eastAsia="仿宋_GB2312" w:cs="仿宋_GB2312"/>
                <w:color w:val="000000"/>
                <w:spacing w:val="-20"/>
                <w:sz w:val="24"/>
                <w:szCs w:val="24"/>
              </w:rPr>
              <w:t>5</w:t>
            </w:r>
            <w:r>
              <w:rPr>
                <w:rFonts w:hint="eastAsia" w:ascii="仿宋_GB2312" w:hAnsi="仿宋" w:eastAsia="仿宋_GB2312" w:cs="仿宋_GB2312"/>
                <w:color w:val="000000"/>
                <w:spacing w:val="-20"/>
                <w:sz w:val="24"/>
                <w:szCs w:val="24"/>
              </w:rPr>
              <w:t>、有限空间作业程序的规范和落实情况</w:t>
            </w:r>
          </w:p>
        </w:tc>
        <w:tc>
          <w:tcPr>
            <w:tcW w:w="1283" w:type="dxa"/>
            <w:vAlign w:val="center"/>
          </w:tcPr>
          <w:p>
            <w:pPr>
              <w:kinsoku w:val="0"/>
              <w:overflowPunct w:val="0"/>
              <w:autoSpaceDE w:val="0"/>
              <w:autoSpaceDN w:val="0"/>
              <w:adjustRightInd w:val="0"/>
              <w:snapToGrid w:val="0"/>
              <w:spacing w:line="2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工贸企业</w:t>
            </w:r>
          </w:p>
        </w:tc>
        <w:tc>
          <w:tcPr>
            <w:tcW w:w="1283" w:type="dxa"/>
            <w:vAlign w:val="center"/>
          </w:tcPr>
          <w:p>
            <w:pPr>
              <w:kinsoku w:val="0"/>
              <w:overflowPunct w:val="0"/>
              <w:autoSpaceDE w:val="0"/>
              <w:autoSpaceDN w:val="0"/>
              <w:adjustRightInd w:val="0"/>
              <w:snapToGrid w:val="0"/>
              <w:spacing w:line="2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一般</w:t>
            </w:r>
          </w:p>
          <w:p>
            <w:pPr>
              <w:kinsoku w:val="0"/>
              <w:overflowPunct w:val="0"/>
              <w:autoSpaceDE w:val="0"/>
              <w:autoSpaceDN w:val="0"/>
              <w:adjustRightInd w:val="0"/>
              <w:snapToGrid w:val="0"/>
              <w:spacing w:line="2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检查事项</w:t>
            </w:r>
          </w:p>
        </w:tc>
        <w:tc>
          <w:tcPr>
            <w:tcW w:w="1267" w:type="dxa"/>
            <w:vMerge w:val="restart"/>
            <w:vAlign w:val="center"/>
          </w:tcPr>
          <w:p>
            <w:pPr>
              <w:kinsoku w:val="0"/>
              <w:overflowPunct w:val="0"/>
              <w:autoSpaceDE w:val="0"/>
              <w:autoSpaceDN w:val="0"/>
              <w:adjustRightInd w:val="0"/>
              <w:snapToGrid w:val="0"/>
              <w:spacing w:line="260" w:lineRule="exact"/>
              <w:rPr>
                <w:rFonts w:ascii="仿宋_GB2312" w:hAnsi="仿宋" w:eastAsia="仿宋_GB2312"/>
                <w:color w:val="000000"/>
                <w:spacing w:val="-20"/>
                <w:sz w:val="24"/>
                <w:szCs w:val="24"/>
              </w:rPr>
            </w:pPr>
            <w:r>
              <w:rPr>
                <w:rFonts w:hint="eastAsia" w:ascii="仿宋_GB2312" w:hAnsi="黑体" w:eastAsia="仿宋_GB2312" w:cs="仿宋_GB2312"/>
                <w:color w:val="000000"/>
                <w:spacing w:val="-20"/>
                <w:kern w:val="0"/>
                <w:sz w:val="24"/>
                <w:szCs w:val="24"/>
              </w:rPr>
              <w:t>书面检查、</w:t>
            </w:r>
            <w:r>
              <w:rPr>
                <w:rFonts w:hint="eastAsia" w:ascii="仿宋_GB2312" w:eastAsia="仿宋_GB2312" w:cs="仿宋_GB2312"/>
                <w:color w:val="000000"/>
                <w:spacing w:val="-20"/>
                <w:sz w:val="24"/>
                <w:szCs w:val="24"/>
              </w:rPr>
              <w:t>实地核查</w:t>
            </w:r>
            <w:r>
              <w:rPr>
                <w:rFonts w:hint="eastAsia" w:ascii="仿宋_GB2312" w:hAnsi="黑体" w:eastAsia="仿宋_GB2312" w:cs="仿宋_GB2312"/>
                <w:color w:val="000000"/>
                <w:spacing w:val="-20"/>
                <w:kern w:val="0"/>
                <w:sz w:val="24"/>
                <w:szCs w:val="24"/>
              </w:rPr>
              <w:t>、网络监测</w:t>
            </w:r>
          </w:p>
        </w:tc>
        <w:tc>
          <w:tcPr>
            <w:tcW w:w="4407" w:type="dxa"/>
            <w:vAlign w:val="center"/>
          </w:tcPr>
          <w:p>
            <w:pPr>
              <w:kinsoku w:val="0"/>
              <w:overflowPunct w:val="0"/>
              <w:autoSpaceDE w:val="0"/>
              <w:autoSpaceDN w:val="0"/>
              <w:adjustRightInd w:val="0"/>
              <w:snapToGrid w:val="0"/>
              <w:spacing w:line="260" w:lineRule="exact"/>
              <w:rPr>
                <w:rFonts w:ascii="仿宋_GB2312" w:hAnsi="仿宋" w:eastAsia="仿宋_GB2312" w:cs="仿宋_GB2312"/>
                <w:color w:val="000000"/>
                <w:spacing w:val="-20"/>
                <w:sz w:val="24"/>
                <w:szCs w:val="24"/>
              </w:rPr>
            </w:pPr>
            <w:r>
              <w:rPr>
                <w:rFonts w:hint="eastAsia" w:ascii="仿宋_GB2312" w:hAnsi="仿宋" w:eastAsia="仿宋_GB2312" w:cs="仿宋_GB2312"/>
                <w:color w:val="000000"/>
                <w:spacing w:val="-20"/>
                <w:sz w:val="24"/>
                <w:szCs w:val="24"/>
              </w:rPr>
              <w:t>《冷库设计规范》（</w:t>
            </w:r>
            <w:r>
              <w:rPr>
                <w:rFonts w:ascii="仿宋_GB2312" w:hAnsi="仿宋" w:eastAsia="仿宋_GB2312" w:cs="仿宋_GB2312"/>
                <w:color w:val="000000"/>
                <w:spacing w:val="-20"/>
                <w:sz w:val="24"/>
                <w:szCs w:val="24"/>
              </w:rPr>
              <w:t>GB50072-2010)6.2.7</w:t>
            </w:r>
          </w:p>
          <w:p>
            <w:pPr>
              <w:kinsoku w:val="0"/>
              <w:overflowPunct w:val="0"/>
              <w:autoSpaceDE w:val="0"/>
              <w:autoSpaceDN w:val="0"/>
              <w:adjustRightInd w:val="0"/>
              <w:snapToGrid w:val="0"/>
              <w:spacing w:line="2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《安全生产法》第三十七条；《危险化学品重大危险源监督管理暂行规定》（国家安全监管总局令第</w:t>
            </w:r>
            <w:r>
              <w:rPr>
                <w:rFonts w:ascii="仿宋_GB2312" w:hAnsi="仿宋" w:eastAsia="仿宋_GB2312" w:cs="仿宋_GB2312"/>
                <w:color w:val="000000"/>
                <w:spacing w:val="-20"/>
                <w:sz w:val="24"/>
                <w:szCs w:val="24"/>
              </w:rPr>
              <w:t>40</w:t>
            </w:r>
            <w:r>
              <w:rPr>
                <w:rFonts w:hint="eastAsia" w:ascii="仿宋_GB2312" w:hAnsi="仿宋" w:eastAsia="仿宋_GB2312" w:cs="仿宋_GB2312"/>
                <w:color w:val="000000"/>
                <w:spacing w:val="-20"/>
                <w:sz w:val="24"/>
                <w:szCs w:val="24"/>
              </w:rPr>
              <w:t>号）工贸企业有限空间作业安全管理与监督暂行规定（国家安全监管总局令第</w:t>
            </w:r>
            <w:r>
              <w:rPr>
                <w:rFonts w:ascii="仿宋_GB2312" w:hAnsi="仿宋" w:eastAsia="仿宋_GB2312" w:cs="仿宋_GB2312"/>
                <w:color w:val="000000"/>
                <w:spacing w:val="-20"/>
                <w:sz w:val="24"/>
                <w:szCs w:val="24"/>
              </w:rPr>
              <w:t>59</w:t>
            </w:r>
            <w:r>
              <w:rPr>
                <w:rFonts w:hint="eastAsia" w:ascii="仿宋_GB2312" w:hAnsi="仿宋" w:eastAsia="仿宋_GB2312" w:cs="仿宋_GB2312"/>
                <w:color w:val="000000"/>
                <w:spacing w:val="-20"/>
                <w:sz w:val="24"/>
                <w:szCs w:val="24"/>
              </w:rPr>
              <w:t>号）</w:t>
            </w:r>
          </w:p>
        </w:tc>
        <w:tc>
          <w:tcPr>
            <w:tcW w:w="1224"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应急</w:t>
            </w:r>
          </w:p>
          <w:p>
            <w:pPr>
              <w:jc w:val="center"/>
              <w:rPr>
                <w:rFonts w:ascii="宋体"/>
                <w:b/>
                <w:bCs/>
                <w:color w:val="000000"/>
                <w:sz w:val="24"/>
                <w:szCs w:val="24"/>
              </w:rPr>
            </w:pPr>
            <w:r>
              <w:rPr>
                <w:rFonts w:hint="eastAsia" w:ascii="仿宋_GB2312" w:hAnsi="仿宋" w:eastAsia="仿宋_GB2312" w:cs="仿宋_GB2312"/>
                <w:color w:val="000000"/>
                <w:spacing w:val="-20"/>
                <w:sz w:val="24"/>
                <w:szCs w:val="24"/>
              </w:rPr>
              <w:t>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5" w:hRule="atLeast"/>
        </w:trPr>
        <w:tc>
          <w:tcPr>
            <w:tcW w:w="702" w:type="dxa"/>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sz w:val="24"/>
                <w:szCs w:val="24"/>
                <w:lang w:val="en-US" w:eastAsia="zh-CN"/>
              </w:rPr>
            </w:pPr>
            <w:r>
              <w:rPr>
                <w:rFonts w:hint="eastAsia" w:ascii="仿宋_GB2312" w:hAnsi="仿宋" w:eastAsia="仿宋_GB2312"/>
                <w:color w:val="000000"/>
                <w:spacing w:val="-20"/>
                <w:sz w:val="24"/>
                <w:szCs w:val="24"/>
                <w:lang w:val="en-US" w:eastAsia="zh-CN"/>
              </w:rPr>
              <w:t>37</w:t>
            </w:r>
          </w:p>
        </w:tc>
        <w:tc>
          <w:tcPr>
            <w:tcW w:w="122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冶金企业检查</w:t>
            </w:r>
          </w:p>
        </w:tc>
        <w:tc>
          <w:tcPr>
            <w:tcW w:w="3568" w:type="dxa"/>
            <w:vAlign w:val="center"/>
          </w:tcPr>
          <w:p>
            <w:pPr>
              <w:kinsoku w:val="0"/>
              <w:overflowPunct w:val="0"/>
              <w:autoSpaceDE w:val="0"/>
              <w:autoSpaceDN w:val="0"/>
              <w:adjustRightInd w:val="0"/>
              <w:snapToGrid w:val="0"/>
              <w:spacing w:line="26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、会议室、活动室、休息室、更衣室等人员聚集场所是否设置在危险区域情况；</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、吊运铁水、钢水的起重机备是否符合冶金铸造起重机要求及年检情况；</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、盛装铁水、钢水与液渣的罐（包、盆）等容器耳轴检测情况；</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、高温熔融金属冶炼、吊运区域是否存在积水情况；</w:t>
            </w:r>
            <w:r>
              <w:rPr>
                <w:rFonts w:ascii="仿宋_GB2312" w:hAnsi="仿宋" w:eastAsia="仿宋_GB2312" w:cs="仿宋_GB2312"/>
                <w:color w:val="000000"/>
                <w:spacing w:val="-20"/>
                <w:sz w:val="24"/>
                <w:szCs w:val="24"/>
              </w:rPr>
              <w:t>5</w:t>
            </w:r>
            <w:r>
              <w:rPr>
                <w:rFonts w:hint="eastAsia" w:ascii="仿宋_GB2312" w:hAnsi="仿宋" w:eastAsia="仿宋_GB2312" w:cs="仿宋_GB2312"/>
                <w:color w:val="000000"/>
                <w:spacing w:val="-20"/>
                <w:sz w:val="24"/>
                <w:szCs w:val="24"/>
              </w:rPr>
              <w:t>、煤气可能泄漏的危险区域警示标示及固定报警仪设置情况</w:t>
            </w:r>
          </w:p>
        </w:tc>
        <w:tc>
          <w:tcPr>
            <w:tcW w:w="1283" w:type="dxa"/>
            <w:vAlign w:val="center"/>
          </w:tcPr>
          <w:p>
            <w:pPr>
              <w:kinsoku w:val="0"/>
              <w:overflowPunct w:val="0"/>
              <w:autoSpaceDE w:val="0"/>
              <w:autoSpaceDN w:val="0"/>
              <w:adjustRightInd w:val="0"/>
              <w:snapToGrid w:val="0"/>
              <w:spacing w:line="2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冶金企业</w:t>
            </w:r>
          </w:p>
        </w:tc>
        <w:tc>
          <w:tcPr>
            <w:tcW w:w="1283" w:type="dxa"/>
            <w:vAlign w:val="center"/>
          </w:tcPr>
          <w:p>
            <w:pPr>
              <w:kinsoku w:val="0"/>
              <w:overflowPunct w:val="0"/>
              <w:autoSpaceDE w:val="0"/>
              <w:autoSpaceDN w:val="0"/>
              <w:adjustRightInd w:val="0"/>
              <w:snapToGrid w:val="0"/>
              <w:spacing w:line="2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重点</w:t>
            </w:r>
          </w:p>
          <w:p>
            <w:pPr>
              <w:kinsoku w:val="0"/>
              <w:overflowPunct w:val="0"/>
              <w:autoSpaceDE w:val="0"/>
              <w:autoSpaceDN w:val="0"/>
              <w:adjustRightInd w:val="0"/>
              <w:snapToGrid w:val="0"/>
              <w:spacing w:line="2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检查事项</w:t>
            </w:r>
          </w:p>
        </w:tc>
        <w:tc>
          <w:tcPr>
            <w:tcW w:w="1267" w:type="dxa"/>
            <w:vMerge w:val="continue"/>
            <w:vAlign w:val="center"/>
          </w:tcPr>
          <w:p>
            <w:pPr>
              <w:kinsoku w:val="0"/>
              <w:overflowPunct w:val="0"/>
              <w:autoSpaceDE w:val="0"/>
              <w:autoSpaceDN w:val="0"/>
              <w:adjustRightInd w:val="0"/>
              <w:snapToGrid w:val="0"/>
              <w:spacing w:line="260" w:lineRule="exact"/>
              <w:jc w:val="center"/>
              <w:rPr>
                <w:rFonts w:ascii="仿宋_GB2312" w:hAnsi="仿宋"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2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《冶金企业安全生产监督管理规定》（国家安全监管总局令第</w:t>
            </w:r>
            <w:r>
              <w:rPr>
                <w:rFonts w:ascii="仿宋_GB2312" w:hAnsi="仿宋" w:eastAsia="仿宋_GB2312" w:cs="仿宋_GB2312"/>
                <w:color w:val="000000"/>
                <w:spacing w:val="-20"/>
                <w:sz w:val="24"/>
                <w:szCs w:val="24"/>
              </w:rPr>
              <w:t>26</w:t>
            </w:r>
            <w:r>
              <w:rPr>
                <w:rFonts w:hint="eastAsia" w:ascii="仿宋_GB2312" w:hAnsi="仿宋" w:eastAsia="仿宋_GB2312" w:cs="仿宋_GB2312"/>
                <w:color w:val="000000"/>
                <w:spacing w:val="-20"/>
                <w:sz w:val="24"/>
                <w:szCs w:val="24"/>
              </w:rPr>
              <w:t>号）</w:t>
            </w:r>
          </w:p>
          <w:p>
            <w:pPr>
              <w:kinsoku w:val="0"/>
              <w:overflowPunct w:val="0"/>
              <w:autoSpaceDE w:val="0"/>
              <w:autoSpaceDN w:val="0"/>
              <w:adjustRightInd w:val="0"/>
              <w:snapToGrid w:val="0"/>
              <w:spacing w:line="260" w:lineRule="exact"/>
              <w:rPr>
                <w:rFonts w:ascii="仿宋_GB2312" w:hAnsi="仿宋" w:eastAsia="仿宋_GB2312" w:cs="仿宋_GB2312"/>
                <w:color w:val="000000"/>
                <w:spacing w:val="-20"/>
                <w:sz w:val="24"/>
                <w:szCs w:val="24"/>
              </w:rPr>
            </w:pPr>
            <w:r>
              <w:rPr>
                <w:rFonts w:hint="eastAsia" w:ascii="仿宋_GB2312" w:hAnsi="仿宋" w:eastAsia="仿宋_GB2312" w:cs="仿宋_GB2312"/>
                <w:color w:val="000000"/>
                <w:spacing w:val="-20"/>
                <w:sz w:val="24"/>
                <w:szCs w:val="24"/>
              </w:rPr>
              <w:t>《炼钢安全规程》（</w:t>
            </w:r>
            <w:r>
              <w:rPr>
                <w:rFonts w:ascii="仿宋_GB2312" w:hAnsi="仿宋" w:eastAsia="仿宋_GB2312" w:cs="仿宋_GB2312"/>
                <w:color w:val="000000"/>
                <w:spacing w:val="-20"/>
                <w:sz w:val="24"/>
                <w:szCs w:val="24"/>
              </w:rPr>
              <w:t>AQ2001-2004</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8.4.4</w:t>
            </w:r>
          </w:p>
          <w:p>
            <w:pPr>
              <w:kinsoku w:val="0"/>
              <w:overflowPunct w:val="0"/>
              <w:autoSpaceDE w:val="0"/>
              <w:autoSpaceDN w:val="0"/>
              <w:adjustRightInd w:val="0"/>
              <w:snapToGrid w:val="0"/>
              <w:spacing w:line="260" w:lineRule="exact"/>
              <w:rPr>
                <w:rFonts w:ascii="仿宋_GB2312" w:hAnsi="仿宋" w:eastAsia="仿宋_GB2312" w:cs="仿宋_GB2312"/>
                <w:color w:val="000000"/>
                <w:spacing w:val="-20"/>
                <w:sz w:val="24"/>
                <w:szCs w:val="24"/>
              </w:rPr>
            </w:pPr>
            <w:r>
              <w:rPr>
                <w:rFonts w:hint="eastAsia" w:ascii="仿宋_GB2312" w:hAnsi="仿宋" w:eastAsia="仿宋_GB2312" w:cs="仿宋_GB2312"/>
                <w:color w:val="000000"/>
                <w:spacing w:val="-20"/>
                <w:sz w:val="24"/>
                <w:szCs w:val="24"/>
              </w:rPr>
              <w:t>《炼钢安全规程》（</w:t>
            </w:r>
            <w:r>
              <w:rPr>
                <w:rFonts w:ascii="仿宋_GB2312" w:hAnsi="仿宋" w:eastAsia="仿宋_GB2312" w:cs="仿宋_GB2312"/>
                <w:color w:val="000000"/>
                <w:spacing w:val="-20"/>
                <w:sz w:val="24"/>
                <w:szCs w:val="24"/>
              </w:rPr>
              <w:t>AQ2001-2004</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8.1.3</w:t>
            </w:r>
          </w:p>
          <w:p>
            <w:pPr>
              <w:kinsoku w:val="0"/>
              <w:overflowPunct w:val="0"/>
              <w:autoSpaceDE w:val="0"/>
              <w:autoSpaceDN w:val="0"/>
              <w:adjustRightInd w:val="0"/>
              <w:snapToGrid w:val="0"/>
              <w:spacing w:line="260" w:lineRule="exact"/>
              <w:rPr>
                <w:rFonts w:ascii="仿宋_GB2312" w:hAnsi="仿宋" w:eastAsia="仿宋_GB2312" w:cs="仿宋_GB2312"/>
                <w:color w:val="000000"/>
                <w:spacing w:val="-20"/>
                <w:sz w:val="24"/>
                <w:szCs w:val="24"/>
              </w:rPr>
            </w:pPr>
            <w:r>
              <w:rPr>
                <w:rFonts w:hint="eastAsia" w:ascii="仿宋_GB2312" w:hAnsi="仿宋" w:eastAsia="仿宋_GB2312" w:cs="仿宋_GB2312"/>
                <w:color w:val="000000"/>
                <w:spacing w:val="-20"/>
                <w:sz w:val="24"/>
                <w:szCs w:val="24"/>
              </w:rPr>
              <w:t>《炼钢安全规程》（</w:t>
            </w:r>
            <w:r>
              <w:rPr>
                <w:rFonts w:ascii="仿宋_GB2312" w:hAnsi="仿宋" w:eastAsia="仿宋_GB2312" w:cs="仿宋_GB2312"/>
                <w:color w:val="000000"/>
                <w:spacing w:val="-20"/>
                <w:sz w:val="24"/>
                <w:szCs w:val="24"/>
              </w:rPr>
              <w:t>AQ2001-2004</w:t>
            </w:r>
            <w:r>
              <w:rPr>
                <w:rFonts w:hint="eastAsia" w:ascii="仿宋_GB2312" w:hAnsi="仿宋" w:eastAsia="仿宋_GB2312" w:cs="仿宋_GB2312"/>
                <w:color w:val="000000"/>
                <w:spacing w:val="-20"/>
                <w:sz w:val="24"/>
                <w:szCs w:val="24"/>
              </w:rPr>
              <w:t>）</w:t>
            </w:r>
            <w:r>
              <w:rPr>
                <w:rFonts w:ascii="仿宋_GB2312" w:hAnsi="仿宋" w:eastAsia="仿宋_GB2312" w:cs="仿宋_GB2312"/>
                <w:color w:val="000000"/>
                <w:spacing w:val="-20"/>
                <w:sz w:val="24"/>
                <w:szCs w:val="24"/>
              </w:rPr>
              <w:t xml:space="preserve">6.2.6 </w:t>
            </w:r>
          </w:p>
          <w:p>
            <w:pPr>
              <w:kinsoku w:val="0"/>
              <w:overflowPunct w:val="0"/>
              <w:autoSpaceDE w:val="0"/>
              <w:autoSpaceDN w:val="0"/>
              <w:adjustRightInd w:val="0"/>
              <w:snapToGrid w:val="0"/>
              <w:spacing w:line="2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《冶金企业安全生产监督管理规定》（国家安全监管总局令第</w:t>
            </w:r>
            <w:r>
              <w:rPr>
                <w:rFonts w:ascii="仿宋_GB2312" w:hAnsi="仿宋" w:eastAsia="仿宋_GB2312" w:cs="仿宋_GB2312"/>
                <w:color w:val="000000"/>
                <w:spacing w:val="-20"/>
                <w:sz w:val="24"/>
                <w:szCs w:val="24"/>
              </w:rPr>
              <w:t>26</w:t>
            </w:r>
            <w:r>
              <w:rPr>
                <w:rFonts w:hint="eastAsia" w:ascii="仿宋_GB2312" w:hAnsi="仿宋" w:eastAsia="仿宋_GB2312" w:cs="仿宋_GB2312"/>
                <w:color w:val="000000"/>
                <w:spacing w:val="-20"/>
                <w:sz w:val="24"/>
                <w:szCs w:val="24"/>
              </w:rPr>
              <w:t>号）</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2" w:hRule="atLeast"/>
        </w:trPr>
        <w:tc>
          <w:tcPr>
            <w:tcW w:w="702" w:type="dxa"/>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sz w:val="24"/>
                <w:szCs w:val="24"/>
                <w:lang w:val="en-US" w:eastAsia="zh-CN"/>
              </w:rPr>
            </w:pPr>
            <w:r>
              <w:rPr>
                <w:rFonts w:hint="eastAsia" w:ascii="仿宋_GB2312" w:hAnsi="仿宋" w:eastAsia="仿宋_GB2312"/>
                <w:color w:val="000000"/>
                <w:spacing w:val="-20"/>
                <w:sz w:val="24"/>
                <w:szCs w:val="24"/>
                <w:lang w:val="en-US" w:eastAsia="zh-CN"/>
              </w:rPr>
              <w:t>38</w:t>
            </w:r>
          </w:p>
        </w:tc>
        <w:tc>
          <w:tcPr>
            <w:tcW w:w="122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12"/>
                <w:sz w:val="24"/>
                <w:szCs w:val="24"/>
              </w:rPr>
              <w:t>生产经营单位综合检查</w:t>
            </w:r>
          </w:p>
        </w:tc>
        <w:tc>
          <w:tcPr>
            <w:tcW w:w="3568" w:type="dxa"/>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、安全生产责任制和安全生产规章制度、操作规程制定、执行和适时修改情况；</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、安全投入及劳动防护用品经费、安全培训经费保障情况；</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、安全生产管理机构设置、安全生产管理人员配备情况；</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、从业人员安全生产教育和培训计划、实施及档案管理情况；</w:t>
            </w:r>
            <w:r>
              <w:rPr>
                <w:rFonts w:ascii="仿宋_GB2312" w:hAnsi="仿宋" w:eastAsia="仿宋_GB2312" w:cs="仿宋_GB2312"/>
                <w:color w:val="000000"/>
                <w:spacing w:val="-20"/>
                <w:sz w:val="24"/>
                <w:szCs w:val="24"/>
              </w:rPr>
              <w:t>5</w:t>
            </w:r>
            <w:r>
              <w:rPr>
                <w:rFonts w:hint="eastAsia" w:ascii="仿宋_GB2312" w:hAnsi="仿宋" w:eastAsia="仿宋_GB2312" w:cs="仿宋_GB2312"/>
                <w:color w:val="000000"/>
                <w:spacing w:val="-20"/>
                <w:sz w:val="24"/>
                <w:szCs w:val="24"/>
              </w:rPr>
              <w:t>、特种作业人员持证上岗、培训及档案情况</w:t>
            </w:r>
          </w:p>
        </w:tc>
        <w:tc>
          <w:tcPr>
            <w:tcW w:w="1283" w:type="dxa"/>
            <w:vAlign w:val="center"/>
          </w:tcPr>
          <w:p>
            <w:pPr>
              <w:kinsoku w:val="0"/>
              <w:overflowPunct w:val="0"/>
              <w:autoSpaceDE w:val="0"/>
              <w:autoSpaceDN w:val="0"/>
              <w:adjustRightInd w:val="0"/>
              <w:snapToGrid w:val="0"/>
              <w:spacing w:line="2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各类生产经营单位</w:t>
            </w:r>
          </w:p>
        </w:tc>
        <w:tc>
          <w:tcPr>
            <w:tcW w:w="1283" w:type="dxa"/>
            <w:vAlign w:val="center"/>
          </w:tcPr>
          <w:p>
            <w:pPr>
              <w:kinsoku w:val="0"/>
              <w:overflowPunct w:val="0"/>
              <w:autoSpaceDE w:val="0"/>
              <w:autoSpaceDN w:val="0"/>
              <w:adjustRightInd w:val="0"/>
              <w:snapToGrid w:val="0"/>
              <w:spacing w:line="2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一般</w:t>
            </w:r>
          </w:p>
          <w:p>
            <w:pPr>
              <w:kinsoku w:val="0"/>
              <w:overflowPunct w:val="0"/>
              <w:autoSpaceDE w:val="0"/>
              <w:autoSpaceDN w:val="0"/>
              <w:adjustRightInd w:val="0"/>
              <w:snapToGrid w:val="0"/>
              <w:spacing w:line="2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检查事项</w:t>
            </w:r>
          </w:p>
        </w:tc>
        <w:tc>
          <w:tcPr>
            <w:tcW w:w="1267" w:type="dxa"/>
            <w:vMerge w:val="continue"/>
            <w:vAlign w:val="center"/>
          </w:tcPr>
          <w:p>
            <w:pPr>
              <w:kinsoku w:val="0"/>
              <w:overflowPunct w:val="0"/>
              <w:autoSpaceDE w:val="0"/>
              <w:autoSpaceDN w:val="0"/>
              <w:adjustRightInd w:val="0"/>
              <w:snapToGrid w:val="0"/>
              <w:spacing w:line="260" w:lineRule="exact"/>
              <w:jc w:val="center"/>
              <w:rPr>
                <w:rFonts w:ascii="仿宋_GB2312" w:hAnsi="仿宋"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2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《安全生产法》第十八条、第二十条、第二十一条、第二十四条、第二十五条、第二十六条、第二十七条；《陕西省安全生产条例》第十条；　《生产经营单位安全培训规定》（国家安全监管总局令第</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号）、《特种作业人员安全技术培训考核管理规定》（国家安全监管总局令第</w:t>
            </w:r>
            <w:r>
              <w:rPr>
                <w:rFonts w:ascii="仿宋_GB2312" w:hAnsi="仿宋" w:eastAsia="仿宋_GB2312" w:cs="仿宋_GB2312"/>
                <w:color w:val="000000"/>
                <w:spacing w:val="-20"/>
                <w:sz w:val="24"/>
                <w:szCs w:val="24"/>
              </w:rPr>
              <w:t>30</w:t>
            </w:r>
            <w:r>
              <w:rPr>
                <w:rFonts w:hint="eastAsia" w:ascii="仿宋_GB2312" w:hAnsi="仿宋" w:eastAsia="仿宋_GB2312" w:cs="仿宋_GB2312"/>
                <w:color w:val="000000"/>
                <w:spacing w:val="-20"/>
                <w:sz w:val="24"/>
                <w:szCs w:val="24"/>
              </w:rPr>
              <w:t>号）《安全生产培训管理办法》（国家安全监管总局令第</w:t>
            </w:r>
            <w:r>
              <w:rPr>
                <w:rFonts w:ascii="仿宋_GB2312" w:hAnsi="仿宋" w:eastAsia="仿宋_GB2312" w:cs="仿宋_GB2312"/>
                <w:color w:val="000000"/>
                <w:spacing w:val="-20"/>
                <w:sz w:val="24"/>
                <w:szCs w:val="24"/>
              </w:rPr>
              <w:t>44</w:t>
            </w:r>
            <w:r>
              <w:rPr>
                <w:rFonts w:hint="eastAsia" w:ascii="仿宋_GB2312" w:hAnsi="仿宋" w:eastAsia="仿宋_GB2312" w:cs="仿宋_GB2312"/>
                <w:color w:val="000000"/>
                <w:spacing w:val="-20"/>
                <w:sz w:val="24"/>
                <w:szCs w:val="24"/>
              </w:rPr>
              <w:t>号）</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0"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s="仿宋_GB2312"/>
                <w:color w:val="000000"/>
                <w:spacing w:val="-20"/>
                <w:sz w:val="24"/>
                <w:szCs w:val="24"/>
                <w:lang w:val="en-US" w:eastAsia="zh-CN"/>
              </w:rPr>
            </w:pPr>
            <w:r>
              <w:rPr>
                <w:rFonts w:hint="eastAsia" w:ascii="仿宋_GB2312" w:hAnsi="仿宋" w:eastAsia="仿宋_GB2312" w:cs="仿宋_GB2312"/>
                <w:color w:val="000000"/>
                <w:spacing w:val="-20"/>
                <w:sz w:val="24"/>
                <w:szCs w:val="24"/>
                <w:lang w:val="en-US" w:eastAsia="zh-CN"/>
              </w:rPr>
              <w:t>39</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12"/>
                <w:sz w:val="24"/>
                <w:szCs w:val="24"/>
              </w:rPr>
            </w:pPr>
            <w:r>
              <w:rPr>
                <w:rFonts w:hint="eastAsia" w:ascii="仿宋_GB2312" w:hAnsi="仿宋" w:eastAsia="仿宋_GB2312" w:cs="仿宋_GB2312"/>
                <w:color w:val="000000"/>
                <w:spacing w:val="-12"/>
                <w:sz w:val="24"/>
                <w:szCs w:val="24"/>
              </w:rPr>
              <w:t>生产经营单位综合检查</w:t>
            </w:r>
          </w:p>
        </w:tc>
        <w:tc>
          <w:tcPr>
            <w:tcW w:w="3568" w:type="dxa"/>
            <w:vAlign w:val="center"/>
          </w:tcPr>
          <w:p>
            <w:pPr>
              <w:kinsoku w:val="0"/>
              <w:overflowPunct w:val="0"/>
              <w:autoSpaceDE w:val="0"/>
              <w:autoSpaceDN w:val="0"/>
              <w:adjustRightInd w:val="0"/>
              <w:snapToGrid w:val="0"/>
              <w:spacing w:line="26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、事故隐患排查治理情况；</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、生产经营场所与员工宿舍安全距离、安全出口情况；</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、危险作业安全管理情况；</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、劳动防护用品管理情况；</w:t>
            </w:r>
            <w:r>
              <w:rPr>
                <w:rFonts w:ascii="仿宋_GB2312" w:hAnsi="仿宋" w:eastAsia="仿宋_GB2312" w:cs="仿宋_GB2312"/>
                <w:color w:val="000000"/>
                <w:spacing w:val="-20"/>
                <w:sz w:val="24"/>
                <w:szCs w:val="24"/>
              </w:rPr>
              <w:t>5</w:t>
            </w:r>
            <w:r>
              <w:rPr>
                <w:rFonts w:hint="eastAsia" w:ascii="仿宋_GB2312" w:hAnsi="仿宋" w:eastAsia="仿宋_GB2312" w:cs="仿宋_GB2312"/>
                <w:color w:val="000000"/>
                <w:spacing w:val="-20"/>
                <w:sz w:val="24"/>
                <w:szCs w:val="24"/>
              </w:rPr>
              <w:t>、生产经营项目、场所、设备发包、出租管理情况；</w:t>
            </w:r>
            <w:r>
              <w:rPr>
                <w:rFonts w:ascii="仿宋_GB2312" w:hAnsi="仿宋" w:eastAsia="仿宋_GB2312" w:cs="仿宋_GB2312"/>
                <w:color w:val="000000"/>
                <w:spacing w:val="-20"/>
                <w:sz w:val="24"/>
                <w:szCs w:val="24"/>
              </w:rPr>
              <w:t>6</w:t>
            </w:r>
            <w:r>
              <w:rPr>
                <w:rFonts w:hint="eastAsia" w:ascii="仿宋_GB2312" w:hAnsi="仿宋" w:eastAsia="仿宋_GB2312" w:cs="仿宋_GB2312"/>
                <w:color w:val="000000"/>
                <w:spacing w:val="-20"/>
                <w:sz w:val="24"/>
                <w:szCs w:val="24"/>
              </w:rPr>
              <w:t>、应急预案编制、演练和应急组织人员设置及应急救援器材、设备及物质配备情况。</w:t>
            </w:r>
          </w:p>
        </w:tc>
        <w:tc>
          <w:tcPr>
            <w:tcW w:w="1283"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各类生产经营单位</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一般</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检查事项</w:t>
            </w:r>
          </w:p>
        </w:tc>
        <w:tc>
          <w:tcPr>
            <w:tcW w:w="1267" w:type="dxa"/>
            <w:vMerge w:val="restart"/>
            <w:vAlign w:val="center"/>
          </w:tcPr>
          <w:p>
            <w:pPr>
              <w:kinsoku w:val="0"/>
              <w:overflowPunct w:val="0"/>
              <w:autoSpaceDE w:val="0"/>
              <w:autoSpaceDN w:val="0"/>
              <w:adjustRightInd w:val="0"/>
              <w:snapToGrid w:val="0"/>
              <w:spacing w:line="260" w:lineRule="exact"/>
              <w:rPr>
                <w:rFonts w:ascii="仿宋_GB2312" w:hAnsi="仿宋" w:eastAsia="仿宋_GB2312"/>
                <w:color w:val="000000"/>
                <w:spacing w:val="-20"/>
                <w:sz w:val="24"/>
                <w:szCs w:val="24"/>
              </w:rPr>
            </w:pPr>
            <w:r>
              <w:rPr>
                <w:rFonts w:hint="eastAsia" w:ascii="仿宋_GB2312" w:hAnsi="黑体" w:eastAsia="仿宋_GB2312" w:cs="仿宋_GB2312"/>
                <w:color w:val="000000"/>
                <w:spacing w:val="-20"/>
                <w:kern w:val="0"/>
                <w:sz w:val="24"/>
                <w:szCs w:val="24"/>
              </w:rPr>
              <w:t>书面检查、</w:t>
            </w:r>
            <w:r>
              <w:rPr>
                <w:rFonts w:hint="eastAsia" w:ascii="仿宋_GB2312" w:eastAsia="仿宋_GB2312" w:cs="仿宋_GB2312"/>
                <w:color w:val="000000"/>
                <w:spacing w:val="-20"/>
                <w:sz w:val="24"/>
                <w:szCs w:val="24"/>
              </w:rPr>
              <w:t>实地核查</w:t>
            </w:r>
            <w:r>
              <w:rPr>
                <w:rFonts w:hint="eastAsia" w:ascii="仿宋_GB2312" w:hAnsi="黑体" w:eastAsia="仿宋_GB2312" w:cs="仿宋_GB2312"/>
                <w:color w:val="000000"/>
                <w:spacing w:val="-20"/>
                <w:kern w:val="0"/>
                <w:sz w:val="24"/>
                <w:szCs w:val="24"/>
              </w:rPr>
              <w:t>、网络监测</w:t>
            </w:r>
          </w:p>
        </w:tc>
        <w:tc>
          <w:tcPr>
            <w:tcW w:w="4407" w:type="dxa"/>
            <w:vAlign w:val="center"/>
          </w:tcPr>
          <w:p>
            <w:pPr>
              <w:kinsoku w:val="0"/>
              <w:overflowPunct w:val="0"/>
              <w:autoSpaceDE w:val="0"/>
              <w:autoSpaceDN w:val="0"/>
              <w:adjustRightInd w:val="0"/>
              <w:snapToGrid w:val="0"/>
              <w:spacing w:line="24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《安全生产法》第十八条、第三十八条、第三十九条、第四十条、第四十二条、第四十六条、第七十八条、第七十九条、《生产安全事故应急预案管理办法》（国家安全监管总局令第</w:t>
            </w:r>
            <w:r>
              <w:rPr>
                <w:rFonts w:ascii="仿宋_GB2312" w:hAnsi="仿宋" w:eastAsia="仿宋_GB2312" w:cs="仿宋_GB2312"/>
                <w:color w:val="000000"/>
                <w:spacing w:val="-20"/>
                <w:sz w:val="24"/>
                <w:szCs w:val="24"/>
              </w:rPr>
              <w:t>88</w:t>
            </w:r>
            <w:r>
              <w:rPr>
                <w:rFonts w:hint="eastAsia" w:ascii="仿宋_GB2312" w:hAnsi="仿宋" w:eastAsia="仿宋_GB2312" w:cs="仿宋_GB2312"/>
                <w:color w:val="000000"/>
                <w:spacing w:val="-20"/>
                <w:sz w:val="24"/>
                <w:szCs w:val="24"/>
              </w:rPr>
              <w:t>号）《安全生产事故隐患排查治理暂行规定》（国家安全监管总局令第</w:t>
            </w:r>
            <w:r>
              <w:rPr>
                <w:rFonts w:ascii="仿宋_GB2312" w:hAnsi="仿宋" w:eastAsia="仿宋_GB2312" w:cs="仿宋_GB2312"/>
                <w:color w:val="000000"/>
                <w:spacing w:val="-20"/>
                <w:sz w:val="24"/>
                <w:szCs w:val="24"/>
              </w:rPr>
              <w:t>16</w:t>
            </w:r>
            <w:r>
              <w:rPr>
                <w:rFonts w:hint="eastAsia" w:ascii="仿宋_GB2312" w:hAnsi="仿宋" w:eastAsia="仿宋_GB2312" w:cs="仿宋_GB2312"/>
                <w:color w:val="000000"/>
                <w:spacing w:val="-20"/>
                <w:sz w:val="24"/>
                <w:szCs w:val="24"/>
              </w:rPr>
              <w:t>号）</w:t>
            </w:r>
          </w:p>
        </w:tc>
        <w:tc>
          <w:tcPr>
            <w:tcW w:w="1224"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应急</w:t>
            </w:r>
          </w:p>
          <w:p>
            <w:pPr>
              <w:jc w:val="center"/>
              <w:rPr>
                <w:rFonts w:ascii="宋体"/>
                <w:b/>
                <w:bCs/>
                <w:color w:val="000000"/>
                <w:sz w:val="24"/>
                <w:szCs w:val="24"/>
              </w:rPr>
            </w:pPr>
            <w:r>
              <w:rPr>
                <w:rFonts w:hint="eastAsia" w:ascii="仿宋_GB2312" w:hAnsi="仿宋" w:eastAsia="仿宋_GB2312" w:cs="仿宋_GB2312"/>
                <w:color w:val="000000"/>
                <w:spacing w:val="-20"/>
                <w:sz w:val="24"/>
                <w:szCs w:val="24"/>
              </w:rPr>
              <w:t>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5"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p>
        </w:tc>
        <w:tc>
          <w:tcPr>
            <w:tcW w:w="3568" w:type="dxa"/>
            <w:vAlign w:val="center"/>
          </w:tcPr>
          <w:p>
            <w:pPr>
              <w:kinsoku w:val="0"/>
              <w:overflowPunct w:val="0"/>
              <w:autoSpaceDE w:val="0"/>
              <w:autoSpaceDN w:val="0"/>
              <w:adjustRightInd w:val="0"/>
              <w:snapToGrid w:val="0"/>
              <w:spacing w:line="26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、吸取事故教训，督促并落实事故防范整改措施情况；</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、安全评价机构资质条件保持及过程控制、安全生产检测检验机构资质条件保持及质量管理体系执行情况</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67" w:type="dxa"/>
            <w:vMerge w:val="continue"/>
            <w:vAlign w:val="center"/>
          </w:tcPr>
          <w:p>
            <w:pPr>
              <w:kinsoku w:val="0"/>
              <w:overflowPunct w:val="0"/>
              <w:autoSpaceDE w:val="0"/>
              <w:autoSpaceDN w:val="0"/>
              <w:adjustRightInd w:val="0"/>
              <w:snapToGrid w:val="0"/>
              <w:spacing w:line="340" w:lineRule="exact"/>
              <w:rPr>
                <w:rFonts w:ascii="仿宋_GB2312" w:hAnsi="仿宋"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24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《生产安全事故报告和调查处理条例》（国务院令第</w:t>
            </w:r>
            <w:r>
              <w:rPr>
                <w:rFonts w:ascii="仿宋_GB2312" w:hAnsi="仿宋" w:eastAsia="仿宋_GB2312" w:cs="仿宋_GB2312"/>
                <w:color w:val="000000"/>
                <w:spacing w:val="-20"/>
                <w:sz w:val="24"/>
                <w:szCs w:val="24"/>
              </w:rPr>
              <w:t>493</w:t>
            </w:r>
            <w:r>
              <w:rPr>
                <w:rFonts w:hint="eastAsia" w:ascii="仿宋_GB2312" w:hAnsi="仿宋" w:eastAsia="仿宋_GB2312" w:cs="仿宋_GB2312"/>
                <w:color w:val="000000"/>
                <w:spacing w:val="-20"/>
                <w:sz w:val="24"/>
                <w:szCs w:val="24"/>
              </w:rPr>
              <w:t>号）第二十六条、第三十三条、第三十五条、第三十六条、《安全生产法》第六十九条、《安全评价机构管理规定》（国家安全监管总局令第</w:t>
            </w:r>
            <w:r>
              <w:rPr>
                <w:rFonts w:ascii="仿宋_GB2312" w:hAnsi="仿宋" w:eastAsia="仿宋_GB2312" w:cs="仿宋_GB2312"/>
                <w:color w:val="000000"/>
                <w:spacing w:val="-20"/>
                <w:sz w:val="24"/>
                <w:szCs w:val="24"/>
              </w:rPr>
              <w:t>22</w:t>
            </w:r>
            <w:r>
              <w:rPr>
                <w:rFonts w:hint="eastAsia" w:ascii="仿宋_GB2312" w:hAnsi="仿宋" w:eastAsia="仿宋_GB2312" w:cs="仿宋_GB2312"/>
                <w:color w:val="000000"/>
                <w:spacing w:val="-20"/>
                <w:sz w:val="24"/>
                <w:szCs w:val="24"/>
              </w:rPr>
              <w:t>号）、《安全生产检测检验机构管理规定》（国家安全监管总局令第</w:t>
            </w:r>
            <w:r>
              <w:rPr>
                <w:rFonts w:ascii="仿宋_GB2312" w:hAnsi="仿宋" w:eastAsia="仿宋_GB2312" w:cs="仿宋_GB2312"/>
                <w:color w:val="000000"/>
                <w:spacing w:val="-20"/>
                <w:sz w:val="24"/>
                <w:szCs w:val="24"/>
              </w:rPr>
              <w:t>12</w:t>
            </w:r>
            <w:r>
              <w:rPr>
                <w:rFonts w:hint="eastAsia" w:ascii="仿宋_GB2312" w:hAnsi="仿宋" w:eastAsia="仿宋_GB2312" w:cs="仿宋_GB2312"/>
                <w:color w:val="000000"/>
                <w:spacing w:val="-20"/>
                <w:sz w:val="24"/>
                <w:szCs w:val="24"/>
              </w:rPr>
              <w:t>号）　</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9"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sz w:val="24"/>
                <w:szCs w:val="24"/>
              </w:rPr>
            </w:pPr>
          </w:p>
        </w:tc>
        <w:tc>
          <w:tcPr>
            <w:tcW w:w="3568" w:type="dxa"/>
            <w:vAlign w:val="center"/>
          </w:tcPr>
          <w:p>
            <w:pPr>
              <w:kinsoku w:val="0"/>
              <w:overflowPunct w:val="0"/>
              <w:autoSpaceDE w:val="0"/>
              <w:autoSpaceDN w:val="0"/>
              <w:adjustRightInd w:val="0"/>
              <w:snapToGrid w:val="0"/>
              <w:spacing w:line="260" w:lineRule="exact"/>
              <w:rPr>
                <w:rFonts w:ascii="仿宋_GB2312" w:hAnsi="仿宋" w:eastAsia="仿宋_GB2312"/>
                <w:color w:val="000000"/>
                <w:spacing w:val="-20"/>
                <w:sz w:val="24"/>
                <w:szCs w:val="24"/>
              </w:rPr>
            </w:pPr>
            <w:r>
              <w:rPr>
                <w:rFonts w:ascii="仿宋_GB2312" w:hAnsi="仿宋" w:eastAsia="仿宋_GB2312" w:cs="仿宋_GB2312"/>
                <w:color w:val="000000"/>
                <w:spacing w:val="-20"/>
                <w:sz w:val="24"/>
                <w:szCs w:val="24"/>
              </w:rPr>
              <w:t>1</w:t>
            </w:r>
            <w:r>
              <w:rPr>
                <w:rFonts w:hint="eastAsia" w:ascii="仿宋_GB2312" w:hAnsi="仿宋" w:eastAsia="仿宋_GB2312" w:cs="仿宋_GB2312"/>
                <w:color w:val="000000"/>
                <w:spacing w:val="-20"/>
                <w:sz w:val="24"/>
                <w:szCs w:val="24"/>
              </w:rPr>
              <w:t>、建设项目安全评价及建设项目安全设施“三同时”情况；</w:t>
            </w:r>
            <w:r>
              <w:rPr>
                <w:rFonts w:ascii="仿宋_GB2312" w:hAnsi="仿宋" w:eastAsia="仿宋_GB2312" w:cs="仿宋_GB2312"/>
                <w:color w:val="000000"/>
                <w:spacing w:val="-20"/>
                <w:sz w:val="24"/>
                <w:szCs w:val="24"/>
              </w:rPr>
              <w:t>2</w:t>
            </w:r>
            <w:r>
              <w:rPr>
                <w:rFonts w:hint="eastAsia" w:ascii="仿宋_GB2312" w:hAnsi="仿宋" w:eastAsia="仿宋_GB2312" w:cs="仿宋_GB2312"/>
                <w:color w:val="000000"/>
                <w:spacing w:val="-20"/>
                <w:sz w:val="24"/>
                <w:szCs w:val="24"/>
              </w:rPr>
              <w:t>、安全警示标志情况；</w:t>
            </w:r>
            <w:r>
              <w:rPr>
                <w:rFonts w:ascii="仿宋_GB2312" w:hAnsi="仿宋" w:eastAsia="仿宋_GB2312" w:cs="仿宋_GB2312"/>
                <w:color w:val="000000"/>
                <w:spacing w:val="-20"/>
                <w:sz w:val="24"/>
                <w:szCs w:val="24"/>
              </w:rPr>
              <w:t>3</w:t>
            </w:r>
            <w:r>
              <w:rPr>
                <w:rFonts w:hint="eastAsia" w:ascii="仿宋_GB2312" w:hAnsi="仿宋" w:eastAsia="仿宋_GB2312" w:cs="仿宋_GB2312"/>
                <w:color w:val="000000"/>
                <w:spacing w:val="-20"/>
                <w:sz w:val="24"/>
                <w:szCs w:val="24"/>
              </w:rPr>
              <w:t>、安全设备情况；</w:t>
            </w:r>
            <w:r>
              <w:rPr>
                <w:rFonts w:ascii="仿宋_GB2312" w:hAnsi="仿宋" w:eastAsia="仿宋_GB2312" w:cs="仿宋_GB2312"/>
                <w:color w:val="000000"/>
                <w:spacing w:val="-20"/>
                <w:sz w:val="24"/>
                <w:szCs w:val="24"/>
              </w:rPr>
              <w:t>4</w:t>
            </w:r>
            <w:r>
              <w:rPr>
                <w:rFonts w:hint="eastAsia" w:ascii="仿宋_GB2312" w:hAnsi="仿宋" w:eastAsia="仿宋_GB2312" w:cs="仿宋_GB2312"/>
                <w:color w:val="000000"/>
                <w:spacing w:val="-20"/>
                <w:sz w:val="24"/>
                <w:szCs w:val="24"/>
              </w:rPr>
              <w:t>、重大危险源安全管理情况</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83" w:type="dxa"/>
            <w:vMerge w:val="continue"/>
            <w:tcBorders>
              <w:bottom w:val="single" w:color="auto" w:sz="4" w:space="0"/>
            </w:tcBorders>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sz w:val="24"/>
                <w:szCs w:val="24"/>
              </w:rPr>
            </w:pPr>
          </w:p>
        </w:tc>
        <w:tc>
          <w:tcPr>
            <w:tcW w:w="1267" w:type="dxa"/>
            <w:vMerge w:val="continue"/>
            <w:tcBorders>
              <w:bottom w:val="single" w:color="auto" w:sz="4" w:space="0"/>
            </w:tcBorders>
            <w:vAlign w:val="center"/>
          </w:tcPr>
          <w:p>
            <w:pPr>
              <w:kinsoku w:val="0"/>
              <w:overflowPunct w:val="0"/>
              <w:autoSpaceDE w:val="0"/>
              <w:autoSpaceDN w:val="0"/>
              <w:adjustRightInd w:val="0"/>
              <w:snapToGrid w:val="0"/>
              <w:spacing w:line="340" w:lineRule="exact"/>
              <w:rPr>
                <w:rFonts w:ascii="仿宋_GB2312" w:hAnsi="仿宋" w:eastAsia="仿宋_GB2312"/>
                <w:color w:val="000000"/>
                <w:spacing w:val="-20"/>
                <w:sz w:val="24"/>
                <w:szCs w:val="24"/>
              </w:rPr>
            </w:pPr>
          </w:p>
        </w:tc>
        <w:tc>
          <w:tcPr>
            <w:tcW w:w="4407" w:type="dxa"/>
            <w:vAlign w:val="center"/>
          </w:tcPr>
          <w:p>
            <w:pPr>
              <w:kinsoku w:val="0"/>
              <w:overflowPunct w:val="0"/>
              <w:autoSpaceDE w:val="0"/>
              <w:autoSpaceDN w:val="0"/>
              <w:adjustRightInd w:val="0"/>
              <w:snapToGrid w:val="0"/>
              <w:spacing w:line="240" w:lineRule="exact"/>
              <w:rPr>
                <w:rFonts w:ascii="仿宋_GB2312" w:hAnsi="仿宋" w:eastAsia="仿宋_GB2312"/>
                <w:color w:val="000000"/>
                <w:spacing w:val="-20"/>
                <w:sz w:val="24"/>
                <w:szCs w:val="24"/>
              </w:rPr>
            </w:pPr>
            <w:r>
              <w:rPr>
                <w:rFonts w:hint="eastAsia" w:ascii="仿宋_GB2312" w:hAnsi="仿宋" w:eastAsia="仿宋_GB2312" w:cs="仿宋_GB2312"/>
                <w:color w:val="000000"/>
                <w:spacing w:val="-20"/>
                <w:sz w:val="24"/>
                <w:szCs w:val="24"/>
              </w:rPr>
              <w:t>《安全生产法》第二十八条、第二十九条、第三十条、第三十一条、第三十二条、第三十三条、第三十七条《建设项目安全设施“三同时”监督管理办法》（国家安全监管总局令第</w:t>
            </w:r>
            <w:r>
              <w:rPr>
                <w:rFonts w:ascii="仿宋_GB2312" w:hAnsi="仿宋" w:eastAsia="仿宋_GB2312" w:cs="仿宋_GB2312"/>
                <w:color w:val="000000"/>
                <w:spacing w:val="-20"/>
                <w:sz w:val="24"/>
                <w:szCs w:val="24"/>
              </w:rPr>
              <w:t>36</w:t>
            </w:r>
            <w:r>
              <w:rPr>
                <w:rFonts w:hint="eastAsia" w:ascii="仿宋_GB2312" w:hAnsi="仿宋" w:eastAsia="仿宋_GB2312" w:cs="仿宋_GB2312"/>
                <w:color w:val="000000"/>
                <w:spacing w:val="-20"/>
                <w:sz w:val="24"/>
                <w:szCs w:val="24"/>
              </w:rPr>
              <w:t>号）</w:t>
            </w:r>
          </w:p>
        </w:tc>
        <w:tc>
          <w:tcPr>
            <w:tcW w:w="1224" w:type="dxa"/>
            <w:vMerge w:val="continue"/>
            <w:tcBorders>
              <w:bottom w:val="single" w:color="auto" w:sz="4" w:space="0"/>
            </w:tcBorders>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8" w:hRule="atLeast"/>
        </w:trPr>
        <w:tc>
          <w:tcPr>
            <w:tcW w:w="702" w:type="dxa"/>
            <w:vAlign w:val="center"/>
          </w:tcPr>
          <w:p>
            <w:pPr>
              <w:spacing w:line="360" w:lineRule="atLeast"/>
              <w:jc w:val="center"/>
              <w:rPr>
                <w:rFonts w:hint="default" w:ascii="Calibri" w:hAnsi="Calibri" w:eastAsia="宋体" w:cs="Calibri"/>
                <w:color w:val="000000"/>
                <w:sz w:val="24"/>
                <w:szCs w:val="24"/>
                <w:lang w:val="en-US" w:eastAsia="zh-CN"/>
              </w:rPr>
            </w:pPr>
            <w:r>
              <w:rPr>
                <w:rFonts w:hint="eastAsia" w:ascii="Calibri" w:hAnsi="Calibri" w:cs="Calibri"/>
                <w:color w:val="000000"/>
                <w:sz w:val="24"/>
                <w:szCs w:val="24"/>
                <w:lang w:val="en-US" w:eastAsia="zh-CN"/>
              </w:rPr>
              <w:t>40</w:t>
            </w:r>
          </w:p>
        </w:tc>
        <w:tc>
          <w:tcPr>
            <w:tcW w:w="1228" w:type="dxa"/>
            <w:vAlign w:val="center"/>
          </w:tcPr>
          <w:p>
            <w:pPr>
              <w:spacing w:line="360" w:lineRule="atLeast"/>
              <w:rPr>
                <w:rFonts w:ascii="Calibri" w:hAnsi="Calibri" w:cs="Calibri"/>
                <w:color w:val="000000"/>
                <w:sz w:val="24"/>
                <w:szCs w:val="24"/>
              </w:rPr>
            </w:pPr>
            <w:r>
              <w:rPr>
                <w:rFonts w:hint="eastAsia" w:ascii="仿宋_GB2312" w:hAnsi="Calibri" w:eastAsia="仿宋_GB2312" w:cs="仿宋_GB2312"/>
                <w:color w:val="000000"/>
                <w:spacing w:val="-20"/>
                <w:sz w:val="24"/>
                <w:szCs w:val="24"/>
              </w:rPr>
              <w:t>小额贷款公司现场检查</w:t>
            </w:r>
          </w:p>
        </w:tc>
        <w:tc>
          <w:tcPr>
            <w:tcW w:w="3568" w:type="dxa"/>
            <w:vAlign w:val="center"/>
          </w:tcPr>
          <w:p>
            <w:pPr>
              <w:spacing w:line="360" w:lineRule="atLeast"/>
              <w:rPr>
                <w:rFonts w:ascii="Calibri" w:hAnsi="Calibri" w:cs="Calibri"/>
                <w:color w:val="000000"/>
                <w:sz w:val="24"/>
                <w:szCs w:val="24"/>
              </w:rPr>
            </w:pPr>
            <w:r>
              <w:rPr>
                <w:rFonts w:hint="eastAsia" w:ascii="仿宋_GB2312" w:hAnsi="Calibri" w:eastAsia="仿宋_GB2312" w:cs="仿宋_GB2312"/>
                <w:color w:val="000000"/>
                <w:spacing w:val="-20"/>
                <w:sz w:val="24"/>
                <w:szCs w:val="24"/>
              </w:rPr>
              <w:t>对小额贷款公司运营状况、财务状况、风险控制、制度建设、从业人员资格以及其他要求符合监管需要的内容进行检查</w:t>
            </w:r>
          </w:p>
        </w:tc>
        <w:tc>
          <w:tcPr>
            <w:tcW w:w="1283" w:type="dxa"/>
            <w:vAlign w:val="center"/>
          </w:tcPr>
          <w:p>
            <w:pPr>
              <w:spacing w:line="360" w:lineRule="atLeast"/>
              <w:jc w:val="center"/>
              <w:rPr>
                <w:rFonts w:ascii="Calibri" w:hAnsi="Calibri" w:cs="Calibri"/>
                <w:color w:val="000000"/>
                <w:sz w:val="24"/>
                <w:szCs w:val="24"/>
              </w:rPr>
            </w:pPr>
            <w:r>
              <w:rPr>
                <w:rFonts w:hint="eastAsia" w:ascii="仿宋_GB2312" w:hAnsi="Calibri" w:eastAsia="仿宋_GB2312" w:cs="仿宋_GB2312"/>
                <w:color w:val="000000"/>
                <w:spacing w:val="-20"/>
                <w:sz w:val="24"/>
                <w:szCs w:val="24"/>
              </w:rPr>
              <w:t>小额贷款公司</w:t>
            </w:r>
          </w:p>
        </w:tc>
        <w:tc>
          <w:tcPr>
            <w:tcW w:w="1283" w:type="dxa"/>
            <w:vMerge w:val="restart"/>
            <w:vAlign w:val="center"/>
          </w:tcPr>
          <w:p>
            <w:pPr>
              <w:spacing w:line="360" w:lineRule="atLeast"/>
              <w:jc w:val="center"/>
              <w:rPr>
                <w:rFonts w:ascii="仿宋_GB2312" w:hAnsi="Calibri" w:eastAsia="仿宋_GB2312"/>
                <w:color w:val="000000"/>
                <w:spacing w:val="-20"/>
                <w:sz w:val="24"/>
                <w:szCs w:val="24"/>
              </w:rPr>
            </w:pPr>
            <w:r>
              <w:rPr>
                <w:rFonts w:hint="eastAsia" w:ascii="仿宋_GB2312" w:hAnsi="Calibri" w:eastAsia="仿宋_GB2312" w:cs="仿宋_GB2312"/>
                <w:color w:val="000000"/>
                <w:spacing w:val="-20"/>
                <w:sz w:val="24"/>
                <w:szCs w:val="24"/>
              </w:rPr>
              <w:t>重点</w:t>
            </w:r>
          </w:p>
          <w:p>
            <w:pPr>
              <w:spacing w:line="360" w:lineRule="atLeast"/>
              <w:jc w:val="center"/>
              <w:rPr>
                <w:rFonts w:ascii="Calibri" w:hAnsi="Calibri" w:cs="Calibri"/>
                <w:color w:val="000000"/>
                <w:sz w:val="24"/>
                <w:szCs w:val="24"/>
              </w:rPr>
            </w:pPr>
            <w:r>
              <w:rPr>
                <w:rFonts w:hint="eastAsia" w:ascii="仿宋_GB2312" w:hAnsi="Calibri" w:eastAsia="仿宋_GB2312" w:cs="仿宋_GB2312"/>
                <w:color w:val="000000"/>
                <w:spacing w:val="-20"/>
                <w:sz w:val="24"/>
                <w:szCs w:val="24"/>
              </w:rPr>
              <w:t>检查事项</w:t>
            </w:r>
          </w:p>
        </w:tc>
        <w:tc>
          <w:tcPr>
            <w:tcW w:w="1267" w:type="dxa"/>
            <w:vMerge w:val="restart"/>
            <w:vAlign w:val="center"/>
          </w:tcPr>
          <w:p>
            <w:pPr>
              <w:spacing w:line="360" w:lineRule="atLeast"/>
              <w:rPr>
                <w:rFonts w:ascii="Calibri" w:hAnsi="Calibri" w:cs="Calibri"/>
                <w:color w:val="000000"/>
                <w:sz w:val="24"/>
                <w:szCs w:val="24"/>
              </w:rPr>
            </w:pPr>
            <w:r>
              <w:rPr>
                <w:rFonts w:hint="eastAsia" w:ascii="仿宋_GB2312" w:hAnsi="黑体" w:eastAsia="仿宋_GB2312" w:cs="仿宋_GB2312"/>
                <w:color w:val="000000"/>
                <w:spacing w:val="-20"/>
                <w:kern w:val="0"/>
                <w:sz w:val="24"/>
                <w:szCs w:val="24"/>
              </w:rPr>
              <w:t>书面检查、</w:t>
            </w:r>
            <w:r>
              <w:rPr>
                <w:rFonts w:hint="eastAsia" w:ascii="仿宋_GB2312" w:eastAsia="仿宋_GB2312" w:cs="仿宋_GB2312"/>
                <w:color w:val="000000"/>
                <w:spacing w:val="-20"/>
                <w:sz w:val="24"/>
                <w:szCs w:val="24"/>
              </w:rPr>
              <w:t>实地核查</w:t>
            </w:r>
            <w:r>
              <w:rPr>
                <w:rFonts w:hint="eastAsia" w:ascii="仿宋_GB2312" w:hAnsi="黑体" w:eastAsia="仿宋_GB2312" w:cs="仿宋_GB2312"/>
                <w:color w:val="000000"/>
                <w:spacing w:val="-20"/>
                <w:kern w:val="0"/>
                <w:sz w:val="24"/>
                <w:szCs w:val="24"/>
              </w:rPr>
              <w:t>、网络监测</w:t>
            </w:r>
          </w:p>
        </w:tc>
        <w:tc>
          <w:tcPr>
            <w:tcW w:w="4407" w:type="dxa"/>
            <w:vAlign w:val="center"/>
          </w:tcPr>
          <w:p>
            <w:pPr>
              <w:spacing w:line="360" w:lineRule="atLeast"/>
              <w:rPr>
                <w:rFonts w:ascii="Calibri" w:hAnsi="Calibri" w:cs="Calibri"/>
                <w:color w:val="000000"/>
                <w:sz w:val="24"/>
                <w:szCs w:val="24"/>
              </w:rPr>
            </w:pPr>
            <w:r>
              <w:rPr>
                <w:rFonts w:hint="eastAsia" w:ascii="仿宋_GB2312" w:hAnsi="Calibri" w:eastAsia="仿宋_GB2312" w:cs="仿宋_GB2312"/>
                <w:color w:val="000000"/>
                <w:spacing w:val="-20"/>
                <w:sz w:val="24"/>
                <w:szCs w:val="24"/>
              </w:rPr>
              <w:t>《陕西省金融工作办公室关于印发陕西省小额贷款公司监管实施细则（试行）的通知》（陕金融发〔</w:t>
            </w:r>
            <w:r>
              <w:rPr>
                <w:rFonts w:ascii="仿宋_GB2312" w:hAnsi="Calibri" w:eastAsia="仿宋_GB2312" w:cs="仿宋_GB2312"/>
                <w:color w:val="000000"/>
                <w:spacing w:val="-20"/>
                <w:sz w:val="24"/>
                <w:szCs w:val="24"/>
              </w:rPr>
              <w:t>2013</w:t>
            </w:r>
            <w:r>
              <w:rPr>
                <w:rFonts w:hint="eastAsia" w:ascii="仿宋_GB2312" w:hAnsi="Calibri" w:eastAsia="仿宋_GB2312" w:cs="仿宋_GB2312"/>
                <w:color w:val="000000"/>
                <w:spacing w:val="-20"/>
                <w:sz w:val="24"/>
                <w:szCs w:val="24"/>
              </w:rPr>
              <w:t>〕</w:t>
            </w:r>
            <w:r>
              <w:rPr>
                <w:rFonts w:ascii="仿宋_GB2312" w:hAnsi="Calibri" w:eastAsia="仿宋_GB2312" w:cs="仿宋_GB2312"/>
                <w:color w:val="000000"/>
                <w:spacing w:val="-20"/>
                <w:sz w:val="24"/>
                <w:szCs w:val="24"/>
              </w:rPr>
              <w:t>11</w:t>
            </w:r>
            <w:r>
              <w:rPr>
                <w:rFonts w:hint="eastAsia" w:ascii="仿宋_GB2312" w:hAnsi="Calibri" w:eastAsia="仿宋_GB2312" w:cs="仿宋_GB2312"/>
                <w:color w:val="000000"/>
                <w:spacing w:val="-20"/>
                <w:sz w:val="24"/>
                <w:szCs w:val="24"/>
              </w:rPr>
              <w:t>号）第</w:t>
            </w:r>
            <w:r>
              <w:rPr>
                <w:rFonts w:ascii="仿宋_GB2312" w:hAnsi="Calibri" w:eastAsia="仿宋_GB2312" w:cs="仿宋_GB2312"/>
                <w:color w:val="000000"/>
                <w:spacing w:val="-20"/>
                <w:sz w:val="24"/>
                <w:szCs w:val="24"/>
              </w:rPr>
              <w:t>10</w:t>
            </w:r>
            <w:r>
              <w:rPr>
                <w:rFonts w:hint="eastAsia" w:ascii="仿宋_GB2312" w:hAnsi="Calibri" w:eastAsia="仿宋_GB2312" w:cs="仿宋_GB2312"/>
                <w:color w:val="000000"/>
                <w:spacing w:val="-20"/>
                <w:sz w:val="24"/>
                <w:szCs w:val="24"/>
              </w:rPr>
              <w:t>条、第</w:t>
            </w:r>
            <w:r>
              <w:rPr>
                <w:rFonts w:ascii="仿宋_GB2312" w:hAnsi="Calibri" w:eastAsia="仿宋_GB2312" w:cs="仿宋_GB2312"/>
                <w:color w:val="000000"/>
                <w:spacing w:val="-20"/>
                <w:sz w:val="24"/>
                <w:szCs w:val="24"/>
              </w:rPr>
              <w:t>11</w:t>
            </w:r>
            <w:r>
              <w:rPr>
                <w:rFonts w:hint="eastAsia" w:ascii="仿宋_GB2312" w:hAnsi="Calibri" w:eastAsia="仿宋_GB2312" w:cs="仿宋_GB2312"/>
                <w:color w:val="000000"/>
                <w:spacing w:val="-20"/>
                <w:sz w:val="24"/>
                <w:szCs w:val="24"/>
              </w:rPr>
              <w:t>条、第</w:t>
            </w:r>
            <w:r>
              <w:rPr>
                <w:rFonts w:ascii="仿宋_GB2312" w:hAnsi="Calibri" w:eastAsia="仿宋_GB2312" w:cs="仿宋_GB2312"/>
                <w:color w:val="000000"/>
                <w:spacing w:val="-20"/>
                <w:sz w:val="24"/>
                <w:szCs w:val="24"/>
              </w:rPr>
              <w:t>12</w:t>
            </w:r>
            <w:r>
              <w:rPr>
                <w:rFonts w:hint="eastAsia" w:ascii="仿宋_GB2312" w:hAnsi="Calibri" w:eastAsia="仿宋_GB2312" w:cs="仿宋_GB2312"/>
                <w:color w:val="000000"/>
                <w:spacing w:val="-20"/>
                <w:sz w:val="24"/>
                <w:szCs w:val="24"/>
              </w:rPr>
              <w:t>条</w:t>
            </w:r>
          </w:p>
        </w:tc>
        <w:tc>
          <w:tcPr>
            <w:tcW w:w="1224" w:type="dxa"/>
            <w:vMerge w:val="restart"/>
            <w:vAlign w:val="center"/>
          </w:tcPr>
          <w:p>
            <w:pPr>
              <w:kinsoku w:val="0"/>
              <w:overflowPunct w:val="0"/>
              <w:autoSpaceDE w:val="0"/>
              <w:autoSpaceDN w:val="0"/>
              <w:adjustRightInd w:val="0"/>
              <w:snapToGrid w:val="0"/>
              <w:spacing w:line="360" w:lineRule="exact"/>
              <w:jc w:val="center"/>
              <w:rPr>
                <w:rFonts w:ascii="Calibri" w:hAnsi="Calibri" w:cs="Calibri"/>
                <w:color w:val="000000"/>
                <w:sz w:val="24"/>
                <w:szCs w:val="24"/>
              </w:rPr>
            </w:pPr>
            <w:r>
              <w:rPr>
                <w:rFonts w:hint="eastAsia" w:ascii="仿宋_GB2312" w:hAnsi="仿宋" w:eastAsia="仿宋_GB2312" w:cs="仿宋_GB2312"/>
                <w:color w:val="000000"/>
                <w:spacing w:val="-20"/>
                <w:sz w:val="24"/>
                <w:szCs w:val="24"/>
              </w:rPr>
              <w:t>金融服务办公室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702" w:type="dxa"/>
            <w:vMerge w:val="restart"/>
            <w:vAlign w:val="center"/>
          </w:tcPr>
          <w:p>
            <w:pPr>
              <w:spacing w:line="360" w:lineRule="atLeast"/>
              <w:rPr>
                <w:rFonts w:hint="default" w:ascii="仿宋_GB2312" w:hAnsi="Calibri" w:eastAsia="仿宋_GB2312" w:cs="仿宋_GB2312"/>
                <w:color w:val="000000"/>
                <w:spacing w:val="-20"/>
                <w:sz w:val="24"/>
                <w:szCs w:val="24"/>
                <w:lang w:val="en-US" w:eastAsia="zh-CN"/>
              </w:rPr>
            </w:pPr>
            <w:r>
              <w:rPr>
                <w:rFonts w:hint="eastAsia" w:ascii="仿宋_GB2312" w:hAnsi="Calibri" w:eastAsia="仿宋_GB2312" w:cs="仿宋_GB2312"/>
                <w:color w:val="000000"/>
                <w:spacing w:val="-20"/>
                <w:sz w:val="24"/>
                <w:szCs w:val="24"/>
                <w:lang w:val="en-US" w:eastAsia="zh-CN"/>
              </w:rPr>
              <w:t>41</w:t>
            </w:r>
          </w:p>
        </w:tc>
        <w:tc>
          <w:tcPr>
            <w:tcW w:w="1228" w:type="dxa"/>
            <w:vMerge w:val="restart"/>
            <w:vAlign w:val="center"/>
          </w:tcPr>
          <w:p>
            <w:pPr>
              <w:spacing w:line="360" w:lineRule="atLeast"/>
              <w:rPr>
                <w:rFonts w:hint="eastAsia" w:ascii="仿宋_GB2312" w:hAnsi="Calibri" w:eastAsia="仿宋_GB2312" w:cs="仿宋_GB2312"/>
                <w:color w:val="000000"/>
                <w:spacing w:val="-20"/>
                <w:sz w:val="24"/>
                <w:szCs w:val="24"/>
              </w:rPr>
            </w:pPr>
            <w:r>
              <w:rPr>
                <w:rFonts w:hint="eastAsia" w:ascii="仿宋_GB2312" w:hAnsi="Calibri" w:eastAsia="仿宋_GB2312" w:cs="仿宋_GB2312"/>
                <w:color w:val="000000"/>
                <w:spacing w:val="-20"/>
                <w:sz w:val="24"/>
                <w:szCs w:val="24"/>
              </w:rPr>
              <w:t>融资性担保公司现场检查</w:t>
            </w:r>
          </w:p>
        </w:tc>
        <w:tc>
          <w:tcPr>
            <w:tcW w:w="3568" w:type="dxa"/>
            <w:tcBorders>
              <w:bottom w:val="single" w:color="auto" w:sz="4" w:space="0"/>
            </w:tcBorders>
            <w:vAlign w:val="center"/>
          </w:tcPr>
          <w:p>
            <w:pPr>
              <w:spacing w:line="360" w:lineRule="atLeast"/>
              <w:rPr>
                <w:rFonts w:hint="eastAsia" w:ascii="仿宋_GB2312" w:hAnsi="Calibri" w:eastAsia="仿宋_GB2312" w:cs="仿宋_GB2312"/>
                <w:color w:val="000000"/>
                <w:spacing w:val="-20"/>
                <w:sz w:val="24"/>
                <w:szCs w:val="24"/>
              </w:rPr>
            </w:pPr>
            <w:r>
              <w:rPr>
                <w:rFonts w:hint="eastAsia" w:ascii="仿宋_GB2312" w:hAnsi="Calibri" w:eastAsia="仿宋_GB2312" w:cs="仿宋_GB2312"/>
                <w:color w:val="000000"/>
                <w:spacing w:val="-20"/>
                <w:sz w:val="24"/>
                <w:szCs w:val="24"/>
              </w:rPr>
              <w:t>融资担保公司业务经营许可证的检查</w:t>
            </w:r>
          </w:p>
        </w:tc>
        <w:tc>
          <w:tcPr>
            <w:tcW w:w="1283" w:type="dxa"/>
            <w:vMerge w:val="restart"/>
            <w:vAlign w:val="center"/>
          </w:tcPr>
          <w:p>
            <w:pPr>
              <w:spacing w:line="360" w:lineRule="atLeast"/>
              <w:rPr>
                <w:rFonts w:hint="eastAsia" w:ascii="仿宋_GB2312" w:hAnsi="Calibri" w:eastAsia="仿宋_GB2312" w:cs="仿宋_GB2312"/>
                <w:color w:val="000000"/>
                <w:spacing w:val="-20"/>
                <w:sz w:val="24"/>
                <w:szCs w:val="24"/>
              </w:rPr>
            </w:pPr>
            <w:r>
              <w:rPr>
                <w:rFonts w:hint="eastAsia" w:ascii="仿宋_GB2312" w:hAnsi="Calibri" w:eastAsia="仿宋_GB2312" w:cs="仿宋_GB2312"/>
                <w:color w:val="000000"/>
                <w:spacing w:val="-20"/>
                <w:sz w:val="24"/>
                <w:szCs w:val="24"/>
              </w:rPr>
              <w:t>融资担保公司</w:t>
            </w:r>
          </w:p>
        </w:tc>
        <w:tc>
          <w:tcPr>
            <w:tcW w:w="1283"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1267"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4407" w:type="dxa"/>
            <w:tcBorders>
              <w:bottom w:val="single" w:color="auto" w:sz="4" w:space="0"/>
            </w:tcBorders>
            <w:vAlign w:val="center"/>
          </w:tcPr>
          <w:p>
            <w:pPr>
              <w:spacing w:line="360" w:lineRule="atLeast"/>
              <w:rPr>
                <w:rFonts w:hint="eastAsia" w:ascii="仿宋_GB2312" w:hAnsi="Calibri" w:eastAsia="仿宋_GB2312" w:cs="仿宋_GB2312"/>
                <w:color w:val="000000"/>
                <w:spacing w:val="-20"/>
                <w:sz w:val="24"/>
                <w:szCs w:val="24"/>
              </w:rPr>
            </w:pPr>
            <w:r>
              <w:rPr>
                <w:rFonts w:hint="eastAsia" w:ascii="仿宋_GB2312" w:hAnsi="Calibri" w:eastAsia="仿宋_GB2312" w:cs="仿宋_GB2312"/>
                <w:color w:val="000000"/>
                <w:spacing w:val="-20"/>
                <w:sz w:val="24"/>
                <w:szCs w:val="24"/>
              </w:rPr>
              <w:t>《融资担保公司监督管理条例》第六条、第七条、第八条</w:t>
            </w:r>
          </w:p>
        </w:tc>
        <w:tc>
          <w:tcPr>
            <w:tcW w:w="1224" w:type="dxa"/>
            <w:vMerge w:val="continue"/>
            <w:vAlign w:val="center"/>
          </w:tcPr>
          <w:p>
            <w:pPr>
              <w:spacing w:line="360" w:lineRule="atLeast"/>
              <w:jc w:val="center"/>
              <w:rPr>
                <w:rFonts w:ascii="Calibri" w:hAnsi="Calibri" w:cs="Calibri"/>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702"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1228"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3568" w:type="dxa"/>
            <w:tcBorders>
              <w:top w:val="single" w:color="auto" w:sz="4" w:space="0"/>
              <w:bottom w:val="single" w:color="auto" w:sz="4" w:space="0"/>
            </w:tcBorders>
            <w:vAlign w:val="center"/>
          </w:tcPr>
          <w:p>
            <w:pPr>
              <w:spacing w:line="360" w:lineRule="atLeast"/>
              <w:rPr>
                <w:rFonts w:hint="eastAsia" w:ascii="仿宋_GB2312" w:hAnsi="Calibri" w:eastAsia="仿宋_GB2312" w:cs="仿宋_GB2312"/>
                <w:color w:val="000000"/>
                <w:spacing w:val="-20"/>
                <w:sz w:val="24"/>
                <w:szCs w:val="24"/>
              </w:rPr>
            </w:pPr>
            <w:r>
              <w:rPr>
                <w:rFonts w:hint="eastAsia" w:ascii="仿宋_GB2312" w:hAnsi="Calibri" w:eastAsia="仿宋_GB2312" w:cs="仿宋_GB2312"/>
                <w:color w:val="000000"/>
                <w:spacing w:val="-20"/>
                <w:sz w:val="24"/>
                <w:szCs w:val="24"/>
              </w:rPr>
              <w:t>融资担保公司各项变更事项审批、备案检查</w:t>
            </w:r>
          </w:p>
        </w:tc>
        <w:tc>
          <w:tcPr>
            <w:tcW w:w="1283"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1283"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1267"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4407" w:type="dxa"/>
            <w:tcBorders>
              <w:top w:val="single" w:color="auto" w:sz="4" w:space="0"/>
              <w:bottom w:val="single" w:color="auto" w:sz="4" w:space="0"/>
            </w:tcBorders>
            <w:vAlign w:val="center"/>
          </w:tcPr>
          <w:p>
            <w:pPr>
              <w:spacing w:line="360" w:lineRule="atLeast"/>
              <w:rPr>
                <w:rFonts w:hint="eastAsia" w:ascii="仿宋_GB2312" w:hAnsi="Calibri" w:eastAsia="仿宋_GB2312" w:cs="仿宋_GB2312"/>
                <w:color w:val="000000"/>
                <w:spacing w:val="-20"/>
                <w:sz w:val="24"/>
                <w:szCs w:val="24"/>
              </w:rPr>
            </w:pPr>
            <w:r>
              <w:rPr>
                <w:rFonts w:hint="eastAsia" w:ascii="仿宋_GB2312" w:hAnsi="Calibri" w:eastAsia="仿宋_GB2312" w:cs="仿宋_GB2312"/>
                <w:color w:val="000000"/>
                <w:spacing w:val="-20"/>
                <w:sz w:val="24"/>
                <w:szCs w:val="24"/>
              </w:rPr>
              <w:t>《融资担保公司监督管理条例》第九条；</w:t>
            </w:r>
          </w:p>
          <w:p>
            <w:pPr>
              <w:spacing w:line="360" w:lineRule="atLeast"/>
              <w:rPr>
                <w:rFonts w:hint="eastAsia" w:ascii="仿宋_GB2312" w:hAnsi="Calibri" w:eastAsia="仿宋_GB2312" w:cs="仿宋_GB2312"/>
                <w:color w:val="000000"/>
                <w:spacing w:val="-20"/>
                <w:sz w:val="24"/>
                <w:szCs w:val="24"/>
              </w:rPr>
            </w:pPr>
            <w:r>
              <w:rPr>
                <w:rFonts w:hint="eastAsia" w:ascii="仿宋_GB2312" w:hAnsi="Calibri" w:eastAsia="仿宋_GB2312" w:cs="仿宋_GB2312"/>
                <w:color w:val="000000"/>
                <w:spacing w:val="-20"/>
                <w:sz w:val="24"/>
                <w:szCs w:val="24"/>
              </w:rPr>
              <w:t>《融资担保业务经营许可证管理办法》第八条</w:t>
            </w:r>
          </w:p>
        </w:tc>
        <w:tc>
          <w:tcPr>
            <w:tcW w:w="1224" w:type="dxa"/>
            <w:vMerge w:val="continue"/>
            <w:vAlign w:val="center"/>
          </w:tcPr>
          <w:p>
            <w:pPr>
              <w:spacing w:line="360" w:lineRule="atLeast"/>
              <w:jc w:val="center"/>
              <w:rPr>
                <w:rFonts w:ascii="Calibri" w:hAnsi="Calibri" w:cs="Calibri"/>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1" w:hRule="atLeast"/>
        </w:trPr>
        <w:tc>
          <w:tcPr>
            <w:tcW w:w="702"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1228"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3568" w:type="dxa"/>
            <w:tcBorders>
              <w:top w:val="single" w:color="auto" w:sz="4" w:space="0"/>
              <w:bottom w:val="single" w:color="auto" w:sz="4" w:space="0"/>
            </w:tcBorders>
            <w:vAlign w:val="center"/>
          </w:tcPr>
          <w:p>
            <w:pPr>
              <w:spacing w:line="360" w:lineRule="atLeast"/>
              <w:rPr>
                <w:rFonts w:hint="eastAsia" w:ascii="仿宋_GB2312" w:hAnsi="Calibri" w:eastAsia="仿宋_GB2312" w:cs="仿宋_GB2312"/>
                <w:color w:val="000000"/>
                <w:spacing w:val="-20"/>
                <w:sz w:val="24"/>
                <w:szCs w:val="24"/>
              </w:rPr>
            </w:pPr>
            <w:r>
              <w:rPr>
                <w:rFonts w:hint="eastAsia" w:ascii="仿宋_GB2312" w:hAnsi="Calibri" w:eastAsia="仿宋_GB2312" w:cs="仿宋_GB2312"/>
                <w:color w:val="000000"/>
                <w:spacing w:val="-20"/>
                <w:sz w:val="24"/>
                <w:szCs w:val="24"/>
              </w:rPr>
              <w:t>融资担保公司业务风险控制检查</w:t>
            </w:r>
          </w:p>
        </w:tc>
        <w:tc>
          <w:tcPr>
            <w:tcW w:w="1283"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1283"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1267"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4407" w:type="dxa"/>
            <w:tcBorders>
              <w:top w:val="single" w:color="auto" w:sz="4" w:space="0"/>
              <w:bottom w:val="single" w:color="auto" w:sz="4" w:space="0"/>
            </w:tcBorders>
            <w:vAlign w:val="center"/>
          </w:tcPr>
          <w:p>
            <w:pPr>
              <w:spacing w:line="360" w:lineRule="atLeast"/>
              <w:rPr>
                <w:rFonts w:hint="eastAsia" w:ascii="仿宋_GB2312" w:hAnsi="Calibri" w:eastAsia="仿宋_GB2312" w:cs="仿宋_GB2312"/>
                <w:color w:val="000000"/>
                <w:spacing w:val="-20"/>
                <w:sz w:val="24"/>
                <w:szCs w:val="24"/>
              </w:rPr>
            </w:pPr>
            <w:r>
              <w:rPr>
                <w:rFonts w:hint="eastAsia" w:ascii="仿宋_GB2312" w:hAnsi="Calibri" w:eastAsia="仿宋_GB2312" w:cs="仿宋_GB2312"/>
                <w:color w:val="000000"/>
                <w:spacing w:val="-20"/>
                <w:sz w:val="24"/>
                <w:szCs w:val="24"/>
              </w:rPr>
              <w:t>《融资担保公司监督管理条例》第十五条、第十六条、第十七条、第十八条</w:t>
            </w:r>
          </w:p>
        </w:tc>
        <w:tc>
          <w:tcPr>
            <w:tcW w:w="1224" w:type="dxa"/>
            <w:vMerge w:val="continue"/>
            <w:vAlign w:val="center"/>
          </w:tcPr>
          <w:p>
            <w:pPr>
              <w:spacing w:line="360" w:lineRule="atLeast"/>
              <w:jc w:val="center"/>
              <w:rPr>
                <w:rFonts w:ascii="Calibri" w:hAnsi="Calibri" w:cs="Calibri"/>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trPr>
        <w:tc>
          <w:tcPr>
            <w:tcW w:w="702"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1228"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3568" w:type="dxa"/>
            <w:tcBorders>
              <w:top w:val="single" w:color="auto" w:sz="4" w:space="0"/>
              <w:bottom w:val="single" w:color="auto" w:sz="4" w:space="0"/>
            </w:tcBorders>
            <w:vAlign w:val="center"/>
          </w:tcPr>
          <w:p>
            <w:pPr>
              <w:spacing w:line="360" w:lineRule="atLeast"/>
              <w:rPr>
                <w:rFonts w:hint="eastAsia" w:ascii="仿宋_GB2312" w:hAnsi="Calibri" w:eastAsia="仿宋_GB2312" w:cs="仿宋_GB2312"/>
                <w:color w:val="000000"/>
                <w:spacing w:val="-20"/>
                <w:sz w:val="24"/>
                <w:szCs w:val="24"/>
              </w:rPr>
            </w:pPr>
            <w:r>
              <w:rPr>
                <w:rFonts w:hint="eastAsia" w:ascii="仿宋_GB2312" w:hAnsi="Calibri" w:eastAsia="仿宋_GB2312" w:cs="仿宋_GB2312"/>
                <w:color w:val="000000"/>
                <w:spacing w:val="-20"/>
                <w:sz w:val="24"/>
                <w:szCs w:val="24"/>
              </w:rPr>
              <w:t>融资担保公司资金运用检查</w:t>
            </w:r>
          </w:p>
        </w:tc>
        <w:tc>
          <w:tcPr>
            <w:tcW w:w="1283"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1283"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1267"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4407" w:type="dxa"/>
            <w:tcBorders>
              <w:top w:val="single" w:color="auto" w:sz="4" w:space="0"/>
              <w:bottom w:val="single" w:color="auto" w:sz="4" w:space="0"/>
            </w:tcBorders>
            <w:vAlign w:val="center"/>
          </w:tcPr>
          <w:p>
            <w:pPr>
              <w:spacing w:line="360" w:lineRule="atLeast"/>
              <w:rPr>
                <w:rFonts w:hint="eastAsia" w:ascii="仿宋_GB2312" w:hAnsi="Calibri" w:eastAsia="仿宋_GB2312" w:cs="仿宋_GB2312"/>
                <w:color w:val="000000"/>
                <w:spacing w:val="-20"/>
                <w:sz w:val="24"/>
                <w:szCs w:val="24"/>
              </w:rPr>
            </w:pPr>
            <w:r>
              <w:rPr>
                <w:rFonts w:hint="eastAsia" w:ascii="仿宋_GB2312" w:hAnsi="Calibri" w:eastAsia="仿宋_GB2312" w:cs="仿宋_GB2312"/>
                <w:color w:val="000000"/>
                <w:spacing w:val="-20"/>
                <w:sz w:val="24"/>
                <w:szCs w:val="24"/>
              </w:rPr>
              <w:t>融资担保公司监督管理条例》第二十二条；《融资担保公司资产比例管理办法》第八条、第九条</w:t>
            </w:r>
          </w:p>
        </w:tc>
        <w:tc>
          <w:tcPr>
            <w:tcW w:w="1224" w:type="dxa"/>
            <w:vMerge w:val="continue"/>
            <w:vAlign w:val="center"/>
          </w:tcPr>
          <w:p>
            <w:pPr>
              <w:spacing w:line="360" w:lineRule="atLeast"/>
              <w:jc w:val="center"/>
              <w:rPr>
                <w:rFonts w:ascii="Calibri" w:hAnsi="Calibri" w:cs="Calibri"/>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trPr>
        <w:tc>
          <w:tcPr>
            <w:tcW w:w="702"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1228"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3568" w:type="dxa"/>
            <w:tcBorders>
              <w:top w:val="single" w:color="auto" w:sz="4" w:space="0"/>
              <w:bottom w:val="single" w:color="auto" w:sz="4" w:space="0"/>
            </w:tcBorders>
            <w:vAlign w:val="center"/>
          </w:tcPr>
          <w:p>
            <w:pPr>
              <w:spacing w:line="360" w:lineRule="atLeast"/>
              <w:rPr>
                <w:rFonts w:hint="eastAsia" w:ascii="仿宋_GB2312" w:hAnsi="Calibri" w:eastAsia="仿宋_GB2312" w:cs="仿宋_GB2312"/>
                <w:color w:val="000000"/>
                <w:spacing w:val="-20"/>
                <w:sz w:val="24"/>
                <w:szCs w:val="24"/>
              </w:rPr>
            </w:pPr>
            <w:r>
              <w:rPr>
                <w:rFonts w:hint="eastAsia" w:ascii="仿宋_GB2312" w:hAnsi="Calibri" w:eastAsia="仿宋_GB2312" w:cs="仿宋_GB2312"/>
                <w:color w:val="000000"/>
                <w:spacing w:val="-20"/>
                <w:sz w:val="24"/>
                <w:szCs w:val="24"/>
              </w:rPr>
              <w:t>融资担保公司禁止性业务检查</w:t>
            </w:r>
          </w:p>
        </w:tc>
        <w:tc>
          <w:tcPr>
            <w:tcW w:w="1283"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1283"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1267"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4407" w:type="dxa"/>
            <w:tcBorders>
              <w:top w:val="single" w:color="auto" w:sz="4" w:space="0"/>
              <w:bottom w:val="single" w:color="auto" w:sz="4" w:space="0"/>
            </w:tcBorders>
            <w:vAlign w:val="center"/>
          </w:tcPr>
          <w:p>
            <w:pPr>
              <w:spacing w:line="360" w:lineRule="atLeast"/>
              <w:rPr>
                <w:rFonts w:hint="eastAsia" w:ascii="仿宋_GB2312" w:hAnsi="Calibri" w:eastAsia="仿宋_GB2312" w:cs="仿宋_GB2312"/>
                <w:color w:val="000000"/>
                <w:spacing w:val="-20"/>
                <w:sz w:val="24"/>
                <w:szCs w:val="24"/>
              </w:rPr>
            </w:pPr>
            <w:r>
              <w:rPr>
                <w:rFonts w:hint="eastAsia" w:ascii="仿宋_GB2312" w:hAnsi="Calibri" w:eastAsia="仿宋_GB2312" w:cs="仿宋_GB2312"/>
                <w:color w:val="000000"/>
                <w:spacing w:val="-20"/>
                <w:sz w:val="24"/>
                <w:szCs w:val="24"/>
              </w:rPr>
              <w:t>《融资担保公司监督管理条例》第二十三条</w:t>
            </w:r>
          </w:p>
        </w:tc>
        <w:tc>
          <w:tcPr>
            <w:tcW w:w="1224" w:type="dxa"/>
            <w:vMerge w:val="continue"/>
            <w:vAlign w:val="center"/>
          </w:tcPr>
          <w:p>
            <w:pPr>
              <w:spacing w:line="360" w:lineRule="atLeast"/>
              <w:jc w:val="center"/>
              <w:rPr>
                <w:rFonts w:ascii="Calibri" w:hAnsi="Calibri" w:cs="Calibri"/>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702"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1228"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3568" w:type="dxa"/>
            <w:tcBorders>
              <w:top w:val="single" w:color="auto" w:sz="4" w:space="0"/>
            </w:tcBorders>
            <w:vAlign w:val="center"/>
          </w:tcPr>
          <w:p>
            <w:pPr>
              <w:spacing w:line="360" w:lineRule="atLeast"/>
              <w:rPr>
                <w:rFonts w:hint="eastAsia" w:ascii="仿宋_GB2312" w:hAnsi="Calibri" w:eastAsia="仿宋_GB2312" w:cs="仿宋_GB2312"/>
                <w:color w:val="000000"/>
                <w:spacing w:val="-20"/>
                <w:sz w:val="24"/>
                <w:szCs w:val="24"/>
              </w:rPr>
            </w:pPr>
            <w:r>
              <w:rPr>
                <w:rFonts w:hint="eastAsia" w:ascii="仿宋_GB2312" w:hAnsi="Calibri" w:eastAsia="仿宋_GB2312" w:cs="仿宋_GB2312"/>
                <w:color w:val="000000"/>
                <w:spacing w:val="-20"/>
                <w:sz w:val="24"/>
                <w:szCs w:val="24"/>
              </w:rPr>
              <w:t>融资担保公司业务信息报送检查</w:t>
            </w:r>
          </w:p>
        </w:tc>
        <w:tc>
          <w:tcPr>
            <w:tcW w:w="1283"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1283"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1267" w:type="dxa"/>
            <w:vMerge w:val="continue"/>
            <w:vAlign w:val="center"/>
          </w:tcPr>
          <w:p>
            <w:pPr>
              <w:spacing w:line="360" w:lineRule="atLeast"/>
              <w:rPr>
                <w:rFonts w:hint="eastAsia" w:ascii="仿宋_GB2312" w:hAnsi="Calibri" w:eastAsia="仿宋_GB2312" w:cs="仿宋_GB2312"/>
                <w:color w:val="000000"/>
                <w:spacing w:val="-20"/>
                <w:sz w:val="24"/>
                <w:szCs w:val="24"/>
              </w:rPr>
            </w:pPr>
          </w:p>
        </w:tc>
        <w:tc>
          <w:tcPr>
            <w:tcW w:w="4407" w:type="dxa"/>
            <w:tcBorders>
              <w:top w:val="single" w:color="auto" w:sz="4" w:space="0"/>
            </w:tcBorders>
            <w:vAlign w:val="center"/>
          </w:tcPr>
          <w:p>
            <w:pPr>
              <w:spacing w:line="360" w:lineRule="atLeast"/>
              <w:rPr>
                <w:rFonts w:hint="eastAsia" w:ascii="仿宋_GB2312" w:hAnsi="Calibri" w:eastAsia="仿宋_GB2312" w:cs="仿宋_GB2312"/>
                <w:color w:val="000000"/>
                <w:spacing w:val="-20"/>
                <w:sz w:val="24"/>
                <w:szCs w:val="24"/>
              </w:rPr>
            </w:pPr>
            <w:r>
              <w:rPr>
                <w:rFonts w:hint="eastAsia" w:ascii="仿宋_GB2312" w:hAnsi="Calibri" w:eastAsia="仿宋_GB2312" w:cs="仿宋_GB2312"/>
                <w:color w:val="000000"/>
                <w:spacing w:val="-20"/>
                <w:sz w:val="24"/>
                <w:szCs w:val="24"/>
              </w:rPr>
              <w:t>《融资担保公司监督管理条例》第三十一条、第三十四条</w:t>
            </w:r>
          </w:p>
        </w:tc>
        <w:tc>
          <w:tcPr>
            <w:tcW w:w="1224" w:type="dxa"/>
            <w:vMerge w:val="continue"/>
            <w:vAlign w:val="center"/>
          </w:tcPr>
          <w:p>
            <w:pPr>
              <w:spacing w:line="360" w:lineRule="atLeast"/>
              <w:jc w:val="center"/>
              <w:rPr>
                <w:rFonts w:ascii="Calibri" w:hAnsi="Calibri" w:cs="Calibri"/>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tcBorders>
              <w:bottom w:val="single" w:color="auto" w:sz="4" w:space="0"/>
            </w:tcBorders>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702" w:type="dxa"/>
            <w:vMerge w:val="continue"/>
            <w:vAlign w:val="center"/>
          </w:tcPr>
          <w:p>
            <w:pPr>
              <w:jc w:val="center"/>
              <w:rPr>
                <w:rFonts w:ascii="宋体" w:cs="宋体"/>
                <w:b/>
                <w:bCs/>
                <w:color w:val="000000"/>
                <w:sz w:val="24"/>
                <w:szCs w:val="24"/>
              </w:rPr>
            </w:pPr>
          </w:p>
        </w:tc>
        <w:tc>
          <w:tcPr>
            <w:tcW w:w="1228" w:type="dxa"/>
            <w:tcBorders>
              <w:top w:val="single" w:color="auto" w:sz="4" w:space="0"/>
              <w:right w:val="single" w:color="auto" w:sz="4" w:space="0"/>
            </w:tcBorders>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tcBorders>
              <w:top w:val="single" w:color="auto" w:sz="4" w:space="0"/>
              <w:left w:val="single" w:color="auto" w:sz="4" w:space="0"/>
            </w:tcBorders>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cs="宋体"/>
                <w:b/>
                <w:bCs/>
                <w:color w:val="000000"/>
                <w:sz w:val="24"/>
                <w:szCs w:val="24"/>
              </w:rPr>
            </w:pPr>
          </w:p>
        </w:tc>
        <w:tc>
          <w:tcPr>
            <w:tcW w:w="1283" w:type="dxa"/>
            <w:vMerge w:val="continue"/>
            <w:vAlign w:val="center"/>
          </w:tcPr>
          <w:p>
            <w:pPr>
              <w:jc w:val="center"/>
              <w:rPr>
                <w:rFonts w:ascii="宋体" w:cs="宋体"/>
                <w:b/>
                <w:bCs/>
                <w:color w:val="000000"/>
                <w:sz w:val="24"/>
                <w:szCs w:val="24"/>
              </w:rPr>
            </w:pPr>
          </w:p>
        </w:tc>
        <w:tc>
          <w:tcPr>
            <w:tcW w:w="1267" w:type="dxa"/>
            <w:vMerge w:val="continue"/>
            <w:vAlign w:val="center"/>
          </w:tcPr>
          <w:p>
            <w:pPr>
              <w:jc w:val="center"/>
              <w:rPr>
                <w:rFonts w:ascii="宋体" w:cs="宋体"/>
                <w:b/>
                <w:bCs/>
                <w:color w:val="000000"/>
                <w:sz w:val="24"/>
                <w:szCs w:val="24"/>
              </w:rPr>
            </w:pPr>
          </w:p>
        </w:tc>
        <w:tc>
          <w:tcPr>
            <w:tcW w:w="4407" w:type="dxa"/>
            <w:vMerge w:val="continue"/>
            <w:vAlign w:val="center"/>
          </w:tcPr>
          <w:p>
            <w:pPr>
              <w:jc w:val="center"/>
              <w:rPr>
                <w:rFonts w:ascii="宋体" w:cs="宋体"/>
                <w:b/>
                <w:bCs/>
                <w:color w:val="000000"/>
                <w:sz w:val="24"/>
                <w:szCs w:val="24"/>
              </w:rPr>
            </w:pPr>
          </w:p>
        </w:tc>
        <w:tc>
          <w:tcPr>
            <w:tcW w:w="1224" w:type="dxa"/>
            <w:vMerge w:val="continue"/>
            <w:vAlign w:val="center"/>
          </w:tcPr>
          <w:p>
            <w:pPr>
              <w:jc w:val="center"/>
              <w:rPr>
                <w:rFonts w:ascii="宋体" w:cs="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6" w:hRule="atLeast"/>
        </w:trPr>
        <w:tc>
          <w:tcPr>
            <w:tcW w:w="702" w:type="dxa"/>
            <w:vAlign w:val="center"/>
          </w:tcPr>
          <w:p>
            <w:pPr>
              <w:spacing w:line="360" w:lineRule="atLeast"/>
              <w:jc w:val="center"/>
              <w:rPr>
                <w:rFonts w:hint="default" w:ascii="Calibri" w:hAnsi="Calibri" w:eastAsia="宋体" w:cs="Calibri"/>
                <w:color w:val="000000"/>
                <w:sz w:val="24"/>
                <w:szCs w:val="24"/>
                <w:lang w:val="en-US" w:eastAsia="zh-CN"/>
              </w:rPr>
            </w:pPr>
            <w:r>
              <w:rPr>
                <w:rFonts w:hint="eastAsia" w:ascii="Calibri" w:hAnsi="Calibri" w:cs="Calibri"/>
                <w:color w:val="000000"/>
                <w:sz w:val="24"/>
                <w:szCs w:val="24"/>
                <w:lang w:val="en-US" w:eastAsia="zh-CN"/>
              </w:rPr>
              <w:t>42</w:t>
            </w:r>
          </w:p>
        </w:tc>
        <w:tc>
          <w:tcPr>
            <w:tcW w:w="1228" w:type="dxa"/>
            <w:tcBorders>
              <w:right w:val="single" w:color="auto" w:sz="4" w:space="0"/>
            </w:tcBorders>
            <w:vAlign w:val="center"/>
          </w:tcPr>
          <w:p>
            <w:pPr>
              <w:spacing w:line="360" w:lineRule="atLeast"/>
              <w:rPr>
                <w:rFonts w:ascii="Calibri" w:hAnsi="Calibri" w:cs="Calibri"/>
                <w:color w:val="000000"/>
                <w:sz w:val="24"/>
                <w:szCs w:val="24"/>
              </w:rPr>
            </w:pPr>
            <w:r>
              <w:rPr>
                <w:rFonts w:hint="eastAsia" w:ascii="仿宋_GB2312" w:hAnsi="Calibri" w:eastAsia="仿宋_GB2312" w:cs="仿宋_GB2312"/>
                <w:color w:val="000000"/>
                <w:spacing w:val="-20"/>
                <w:sz w:val="24"/>
                <w:szCs w:val="24"/>
              </w:rPr>
              <w:t>交易场所现场检查</w:t>
            </w:r>
          </w:p>
        </w:tc>
        <w:tc>
          <w:tcPr>
            <w:tcW w:w="3568" w:type="dxa"/>
            <w:tcBorders>
              <w:left w:val="single" w:color="auto" w:sz="4" w:space="0"/>
            </w:tcBorders>
            <w:vAlign w:val="center"/>
          </w:tcPr>
          <w:p>
            <w:pPr>
              <w:spacing w:line="360" w:lineRule="atLeast"/>
              <w:rPr>
                <w:rFonts w:ascii="Calibri" w:hAnsi="Calibri" w:cs="Calibri"/>
                <w:color w:val="000000"/>
                <w:sz w:val="24"/>
                <w:szCs w:val="24"/>
              </w:rPr>
            </w:pPr>
            <w:r>
              <w:rPr>
                <w:rFonts w:hint="eastAsia" w:ascii="仿宋_GB2312" w:hAnsi="Calibri" w:eastAsia="仿宋_GB2312" w:cs="仿宋_GB2312"/>
                <w:color w:val="000000"/>
                <w:spacing w:val="-20"/>
                <w:sz w:val="24"/>
                <w:szCs w:val="24"/>
              </w:rPr>
              <w:t>对交易场所运营状况、财务状况、风险控制、制度建设、从业人员资格以及其他要求符合监管需要的内容进行检查</w:t>
            </w:r>
          </w:p>
        </w:tc>
        <w:tc>
          <w:tcPr>
            <w:tcW w:w="1283" w:type="dxa"/>
            <w:vAlign w:val="center"/>
          </w:tcPr>
          <w:p>
            <w:pPr>
              <w:spacing w:line="360" w:lineRule="atLeast"/>
              <w:jc w:val="center"/>
              <w:rPr>
                <w:rFonts w:ascii="Calibri" w:hAnsi="Calibri" w:cs="Calibri"/>
                <w:color w:val="000000"/>
                <w:sz w:val="24"/>
                <w:szCs w:val="24"/>
              </w:rPr>
            </w:pPr>
            <w:r>
              <w:rPr>
                <w:rFonts w:hint="eastAsia" w:ascii="仿宋_GB2312" w:hAnsi="Calibri" w:eastAsia="仿宋_GB2312" w:cs="仿宋_GB2312"/>
                <w:color w:val="000000"/>
                <w:sz w:val="24"/>
                <w:szCs w:val="24"/>
              </w:rPr>
              <w:t>交易场所</w:t>
            </w:r>
          </w:p>
        </w:tc>
        <w:tc>
          <w:tcPr>
            <w:tcW w:w="1283" w:type="dxa"/>
            <w:vAlign w:val="center"/>
          </w:tcPr>
          <w:p>
            <w:pPr>
              <w:spacing w:line="360" w:lineRule="atLeast"/>
              <w:jc w:val="center"/>
              <w:rPr>
                <w:rFonts w:ascii="仿宋_GB2312" w:hAnsi="Calibri" w:eastAsia="仿宋_GB2312"/>
                <w:color w:val="000000"/>
                <w:spacing w:val="-20"/>
                <w:sz w:val="24"/>
                <w:szCs w:val="24"/>
              </w:rPr>
            </w:pPr>
            <w:r>
              <w:rPr>
                <w:rFonts w:hint="eastAsia" w:ascii="仿宋_GB2312" w:hAnsi="Calibri" w:eastAsia="仿宋_GB2312" w:cs="仿宋_GB2312"/>
                <w:color w:val="000000"/>
                <w:spacing w:val="-20"/>
                <w:sz w:val="24"/>
                <w:szCs w:val="24"/>
              </w:rPr>
              <w:t>重点</w:t>
            </w:r>
          </w:p>
          <w:p>
            <w:pPr>
              <w:spacing w:line="360" w:lineRule="atLeast"/>
              <w:jc w:val="center"/>
              <w:rPr>
                <w:rFonts w:ascii="Calibri" w:hAnsi="Calibri" w:cs="Calibri"/>
                <w:color w:val="000000"/>
                <w:sz w:val="24"/>
                <w:szCs w:val="24"/>
              </w:rPr>
            </w:pPr>
            <w:r>
              <w:rPr>
                <w:rFonts w:hint="eastAsia" w:ascii="仿宋_GB2312" w:hAnsi="Calibri" w:eastAsia="仿宋_GB2312" w:cs="仿宋_GB2312"/>
                <w:color w:val="000000"/>
                <w:spacing w:val="-20"/>
                <w:sz w:val="24"/>
                <w:szCs w:val="24"/>
              </w:rPr>
              <w:t>检查事项</w:t>
            </w:r>
          </w:p>
        </w:tc>
        <w:tc>
          <w:tcPr>
            <w:tcW w:w="1267" w:type="dxa"/>
            <w:vAlign w:val="center"/>
          </w:tcPr>
          <w:p>
            <w:pPr>
              <w:spacing w:line="360" w:lineRule="atLeast"/>
              <w:rPr>
                <w:rFonts w:ascii="Calibri" w:hAnsi="Calibri" w:cs="Calibri"/>
                <w:color w:val="000000"/>
                <w:sz w:val="24"/>
                <w:szCs w:val="24"/>
              </w:rPr>
            </w:pPr>
            <w:r>
              <w:rPr>
                <w:rFonts w:hint="eastAsia" w:ascii="仿宋_GB2312" w:hAnsi="黑体" w:eastAsia="仿宋_GB2312" w:cs="仿宋_GB2312"/>
                <w:color w:val="000000"/>
                <w:spacing w:val="-20"/>
                <w:kern w:val="0"/>
                <w:sz w:val="24"/>
                <w:szCs w:val="24"/>
              </w:rPr>
              <w:t>书面检查、</w:t>
            </w:r>
            <w:r>
              <w:rPr>
                <w:rFonts w:hint="eastAsia" w:ascii="仿宋_GB2312" w:eastAsia="仿宋_GB2312" w:cs="仿宋_GB2312"/>
                <w:color w:val="000000"/>
                <w:spacing w:val="-20"/>
                <w:sz w:val="24"/>
                <w:szCs w:val="24"/>
              </w:rPr>
              <w:t>实地核查</w:t>
            </w:r>
            <w:r>
              <w:rPr>
                <w:rFonts w:hint="eastAsia" w:ascii="仿宋_GB2312" w:eastAsia="仿宋_GB2312" w:cs="仿宋_GB2312"/>
                <w:color w:val="000000"/>
                <w:spacing w:val="-20"/>
                <w:sz w:val="24"/>
                <w:szCs w:val="24"/>
                <w:lang w:eastAsia="zh-CN"/>
              </w:rPr>
              <w:t>、</w:t>
            </w:r>
            <w:r>
              <w:rPr>
                <w:rFonts w:hint="eastAsia" w:ascii="仿宋_GB2312" w:hAnsi="黑体" w:eastAsia="仿宋_GB2312" w:cs="仿宋_GB2312"/>
                <w:color w:val="000000"/>
                <w:spacing w:val="-20"/>
                <w:kern w:val="0"/>
                <w:sz w:val="24"/>
                <w:szCs w:val="24"/>
              </w:rPr>
              <w:t>网络监测</w:t>
            </w:r>
          </w:p>
        </w:tc>
        <w:tc>
          <w:tcPr>
            <w:tcW w:w="4407" w:type="dxa"/>
            <w:vAlign w:val="center"/>
          </w:tcPr>
          <w:p>
            <w:pPr>
              <w:spacing w:line="300" w:lineRule="atLeast"/>
              <w:rPr>
                <w:rFonts w:ascii="Calibri" w:hAnsi="Calibri" w:cs="Calibri"/>
                <w:color w:val="000000"/>
                <w:sz w:val="24"/>
                <w:szCs w:val="24"/>
              </w:rPr>
            </w:pPr>
            <w:r>
              <w:rPr>
                <w:rFonts w:hint="eastAsia" w:ascii="仿宋_GB2312" w:hAnsi="Calibri" w:eastAsia="仿宋_GB2312" w:cs="仿宋_GB2312"/>
                <w:color w:val="000000"/>
                <w:spacing w:val="-20"/>
                <w:sz w:val="24"/>
                <w:szCs w:val="24"/>
              </w:rPr>
              <w:t>《陕西省人民政府办公厅关于印发</w:t>
            </w:r>
            <w:r>
              <w:rPr>
                <w:rFonts w:ascii="仿宋_GB2312" w:hAnsi="Calibri" w:eastAsia="仿宋_GB2312" w:cs="仿宋_GB2312"/>
                <w:color w:val="000000"/>
                <w:spacing w:val="-20"/>
                <w:sz w:val="24"/>
                <w:szCs w:val="24"/>
              </w:rPr>
              <w:t>&lt;</w:t>
            </w:r>
            <w:r>
              <w:rPr>
                <w:rFonts w:hint="eastAsia" w:ascii="仿宋_GB2312" w:hAnsi="Calibri" w:eastAsia="仿宋_GB2312" w:cs="仿宋_GB2312"/>
                <w:color w:val="000000"/>
                <w:spacing w:val="-20"/>
                <w:sz w:val="24"/>
                <w:szCs w:val="24"/>
              </w:rPr>
              <w:t>陕西省交易场所监督管理暂行办法</w:t>
            </w:r>
            <w:r>
              <w:rPr>
                <w:rFonts w:ascii="仿宋_GB2312" w:hAnsi="Calibri" w:eastAsia="仿宋_GB2312" w:cs="仿宋_GB2312"/>
                <w:color w:val="000000"/>
                <w:spacing w:val="-20"/>
                <w:sz w:val="24"/>
                <w:szCs w:val="24"/>
              </w:rPr>
              <w:t>&gt;</w:t>
            </w:r>
            <w:r>
              <w:rPr>
                <w:rFonts w:hint="eastAsia" w:ascii="仿宋_GB2312" w:hAnsi="Calibri" w:eastAsia="仿宋_GB2312" w:cs="仿宋_GB2312"/>
                <w:color w:val="000000"/>
                <w:spacing w:val="-20"/>
                <w:sz w:val="24"/>
                <w:szCs w:val="24"/>
              </w:rPr>
              <w:t>的通知》（陕政办发〔</w:t>
            </w:r>
            <w:r>
              <w:rPr>
                <w:rFonts w:ascii="仿宋_GB2312" w:hAnsi="Calibri" w:eastAsia="仿宋_GB2312" w:cs="仿宋_GB2312"/>
                <w:color w:val="000000"/>
                <w:spacing w:val="-20"/>
                <w:sz w:val="24"/>
                <w:szCs w:val="24"/>
              </w:rPr>
              <w:t>2017</w:t>
            </w:r>
            <w:r>
              <w:rPr>
                <w:rFonts w:hint="eastAsia" w:ascii="仿宋_GB2312" w:hAnsi="Calibri" w:eastAsia="仿宋_GB2312" w:cs="仿宋_GB2312"/>
                <w:color w:val="000000"/>
                <w:spacing w:val="-20"/>
                <w:sz w:val="24"/>
                <w:szCs w:val="24"/>
              </w:rPr>
              <w:t>〕</w:t>
            </w:r>
            <w:r>
              <w:rPr>
                <w:rFonts w:ascii="仿宋_GB2312" w:hAnsi="Calibri" w:eastAsia="仿宋_GB2312" w:cs="仿宋_GB2312"/>
                <w:color w:val="000000"/>
                <w:spacing w:val="-20"/>
                <w:sz w:val="24"/>
                <w:szCs w:val="24"/>
              </w:rPr>
              <w:t>105</w:t>
            </w:r>
            <w:r>
              <w:rPr>
                <w:rFonts w:hint="eastAsia" w:ascii="仿宋_GB2312" w:hAnsi="Calibri" w:eastAsia="仿宋_GB2312" w:cs="仿宋_GB2312"/>
                <w:color w:val="000000"/>
                <w:spacing w:val="-20"/>
                <w:sz w:val="24"/>
                <w:szCs w:val="24"/>
              </w:rPr>
              <w:t>号）第</w:t>
            </w:r>
            <w:r>
              <w:rPr>
                <w:rFonts w:ascii="仿宋_GB2312" w:hAnsi="Calibri" w:eastAsia="仿宋_GB2312" w:cs="仿宋_GB2312"/>
                <w:color w:val="000000"/>
                <w:spacing w:val="-20"/>
                <w:sz w:val="24"/>
                <w:szCs w:val="24"/>
              </w:rPr>
              <w:t>33</w:t>
            </w:r>
            <w:r>
              <w:rPr>
                <w:rFonts w:hint="eastAsia" w:ascii="仿宋_GB2312" w:hAnsi="Calibri" w:eastAsia="仿宋_GB2312" w:cs="仿宋_GB2312"/>
                <w:color w:val="000000"/>
                <w:spacing w:val="-20"/>
                <w:sz w:val="24"/>
                <w:szCs w:val="24"/>
              </w:rPr>
              <w:t>条、第</w:t>
            </w:r>
            <w:r>
              <w:rPr>
                <w:rFonts w:ascii="仿宋_GB2312" w:hAnsi="Calibri" w:eastAsia="仿宋_GB2312" w:cs="仿宋_GB2312"/>
                <w:color w:val="000000"/>
                <w:spacing w:val="-20"/>
                <w:sz w:val="24"/>
                <w:szCs w:val="24"/>
              </w:rPr>
              <w:t>35</w:t>
            </w:r>
            <w:r>
              <w:rPr>
                <w:rFonts w:hint="eastAsia" w:ascii="仿宋_GB2312" w:hAnsi="Calibri" w:eastAsia="仿宋_GB2312" w:cs="仿宋_GB2312"/>
                <w:color w:val="000000"/>
                <w:spacing w:val="-20"/>
                <w:sz w:val="24"/>
                <w:szCs w:val="24"/>
              </w:rPr>
              <w:t>条、第</w:t>
            </w:r>
            <w:r>
              <w:rPr>
                <w:rFonts w:ascii="仿宋_GB2312" w:hAnsi="Calibri" w:eastAsia="仿宋_GB2312" w:cs="仿宋_GB2312"/>
                <w:color w:val="000000"/>
                <w:spacing w:val="-20"/>
                <w:sz w:val="24"/>
                <w:szCs w:val="24"/>
              </w:rPr>
              <w:t>36</w:t>
            </w:r>
            <w:r>
              <w:rPr>
                <w:rFonts w:hint="eastAsia" w:ascii="仿宋_GB2312" w:hAnsi="Calibri" w:eastAsia="仿宋_GB2312" w:cs="仿宋_GB2312"/>
                <w:color w:val="000000"/>
                <w:spacing w:val="-20"/>
                <w:sz w:val="24"/>
                <w:szCs w:val="24"/>
              </w:rPr>
              <w:t>条；《陕西省金融工作办公室关于规范全省交易场所监管工作的通知》（陕金融发〔</w:t>
            </w:r>
            <w:r>
              <w:rPr>
                <w:rFonts w:ascii="仿宋_GB2312" w:hAnsi="Calibri" w:eastAsia="仿宋_GB2312" w:cs="仿宋_GB2312"/>
                <w:color w:val="000000"/>
                <w:spacing w:val="-20"/>
                <w:sz w:val="24"/>
                <w:szCs w:val="24"/>
              </w:rPr>
              <w:t>2013</w:t>
            </w:r>
            <w:r>
              <w:rPr>
                <w:rFonts w:hint="eastAsia" w:ascii="仿宋_GB2312" w:hAnsi="Calibri" w:eastAsia="仿宋_GB2312" w:cs="仿宋_GB2312"/>
                <w:color w:val="000000"/>
                <w:spacing w:val="-20"/>
                <w:sz w:val="24"/>
                <w:szCs w:val="24"/>
              </w:rPr>
              <w:t>〕</w:t>
            </w:r>
            <w:r>
              <w:rPr>
                <w:rFonts w:ascii="仿宋_GB2312" w:hAnsi="Calibri" w:eastAsia="仿宋_GB2312" w:cs="仿宋_GB2312"/>
                <w:color w:val="000000"/>
                <w:spacing w:val="-20"/>
                <w:sz w:val="24"/>
                <w:szCs w:val="24"/>
              </w:rPr>
              <w:t>10</w:t>
            </w:r>
            <w:r>
              <w:rPr>
                <w:rFonts w:hint="eastAsia" w:ascii="仿宋_GB2312" w:hAnsi="Calibri" w:eastAsia="仿宋_GB2312" w:cs="仿宋_GB2312"/>
                <w:color w:val="000000"/>
                <w:spacing w:val="-20"/>
                <w:sz w:val="24"/>
                <w:szCs w:val="24"/>
              </w:rPr>
              <w:t>号）第三条</w:t>
            </w:r>
          </w:p>
        </w:tc>
        <w:tc>
          <w:tcPr>
            <w:tcW w:w="1224" w:type="dxa"/>
            <w:vAlign w:val="center"/>
          </w:tcPr>
          <w:p>
            <w:pPr>
              <w:spacing w:line="360" w:lineRule="atLeast"/>
              <w:jc w:val="center"/>
              <w:rPr>
                <w:rFonts w:ascii="Calibri" w:hAnsi="Calibri" w:cs="Calibri"/>
                <w:color w:val="000000"/>
                <w:sz w:val="24"/>
                <w:szCs w:val="24"/>
              </w:rPr>
            </w:pPr>
            <w:r>
              <w:rPr>
                <w:rFonts w:hint="eastAsia" w:ascii="仿宋_GB2312" w:hAnsi="仿宋" w:eastAsia="仿宋_GB2312" w:cs="仿宋_GB2312"/>
                <w:color w:val="000000"/>
                <w:spacing w:val="-20"/>
                <w:sz w:val="24"/>
                <w:szCs w:val="24"/>
              </w:rPr>
              <w:t>金融服务办公室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1" w:hRule="atLeast"/>
        </w:trPr>
        <w:tc>
          <w:tcPr>
            <w:tcW w:w="702" w:type="dxa"/>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43</w:t>
            </w:r>
          </w:p>
        </w:tc>
        <w:tc>
          <w:tcPr>
            <w:tcW w:w="1228" w:type="dxa"/>
            <w:vAlign w:val="center"/>
          </w:tcPr>
          <w:p>
            <w:pPr>
              <w:spacing w:line="300" w:lineRule="exact"/>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典当行业</w:t>
            </w:r>
          </w:p>
        </w:tc>
        <w:tc>
          <w:tcPr>
            <w:tcW w:w="3568" w:type="dxa"/>
            <w:vAlign w:val="center"/>
          </w:tcPr>
          <w:p>
            <w:pPr>
              <w:spacing w:line="360" w:lineRule="atLeast"/>
              <w:rPr>
                <w:rFonts w:ascii="仿宋_GB2312" w:eastAsia="仿宋_GB2312"/>
                <w:color w:val="000000"/>
                <w:spacing w:val="-20"/>
                <w:sz w:val="24"/>
                <w:szCs w:val="24"/>
              </w:rPr>
            </w:pPr>
            <w:r>
              <w:rPr>
                <w:rFonts w:hint="eastAsia" w:ascii="仿宋_GB2312" w:hAnsi="Calibri" w:eastAsia="仿宋_GB2312" w:cs="仿宋_GB2312"/>
                <w:color w:val="000000"/>
                <w:spacing w:val="-20"/>
                <w:sz w:val="24"/>
                <w:szCs w:val="24"/>
              </w:rPr>
              <w:t>对运营状况、财务状况、风险控制、制度建设、从业人员资格以及其他要求符合监管需要的内容进行检查</w:t>
            </w:r>
          </w:p>
        </w:tc>
        <w:tc>
          <w:tcPr>
            <w:tcW w:w="1283" w:type="dxa"/>
            <w:vAlign w:val="center"/>
          </w:tcPr>
          <w:p>
            <w:pPr>
              <w:spacing w:line="360" w:lineRule="atLeast"/>
              <w:rPr>
                <w:rFonts w:ascii="仿宋_GB2312" w:eastAsia="仿宋_GB2312"/>
                <w:color w:val="000000"/>
                <w:spacing w:val="-20"/>
                <w:sz w:val="24"/>
                <w:szCs w:val="24"/>
              </w:rPr>
            </w:pPr>
            <w:r>
              <w:rPr>
                <w:rFonts w:hint="eastAsia" w:ascii="仿宋_GB2312" w:eastAsia="仿宋_GB2312" w:cs="仿宋_GB2312"/>
                <w:color w:val="000000"/>
                <w:spacing w:val="-20"/>
                <w:sz w:val="24"/>
                <w:szCs w:val="24"/>
              </w:rPr>
              <w:t>典当行经营单位</w:t>
            </w:r>
          </w:p>
        </w:tc>
        <w:tc>
          <w:tcPr>
            <w:tcW w:w="1283" w:type="dxa"/>
            <w:vAlign w:val="center"/>
          </w:tcPr>
          <w:p>
            <w:pPr>
              <w:spacing w:line="360" w:lineRule="atLeast"/>
              <w:jc w:val="center"/>
              <w:rPr>
                <w:rFonts w:ascii="仿宋_GB2312" w:hAnsi="Calibri" w:eastAsia="仿宋_GB2312"/>
                <w:color w:val="000000"/>
                <w:spacing w:val="-20"/>
                <w:sz w:val="24"/>
                <w:szCs w:val="24"/>
              </w:rPr>
            </w:pPr>
            <w:r>
              <w:rPr>
                <w:rFonts w:hint="eastAsia" w:ascii="仿宋_GB2312" w:hAnsi="Calibri" w:eastAsia="仿宋_GB2312" w:cs="仿宋_GB2312"/>
                <w:color w:val="000000"/>
                <w:spacing w:val="-20"/>
                <w:sz w:val="24"/>
                <w:szCs w:val="24"/>
              </w:rPr>
              <w:t>重点</w:t>
            </w:r>
          </w:p>
          <w:p>
            <w:pPr>
              <w:spacing w:line="360" w:lineRule="atLeast"/>
              <w:jc w:val="center"/>
              <w:rPr>
                <w:rFonts w:ascii="Calibri" w:hAnsi="Calibri" w:cs="Calibri"/>
                <w:color w:val="000000"/>
                <w:sz w:val="24"/>
                <w:szCs w:val="24"/>
              </w:rPr>
            </w:pPr>
            <w:r>
              <w:rPr>
                <w:rFonts w:hint="eastAsia" w:ascii="仿宋_GB2312" w:hAnsi="Calibri" w:eastAsia="仿宋_GB2312" w:cs="仿宋_GB2312"/>
                <w:color w:val="000000"/>
                <w:spacing w:val="-20"/>
                <w:sz w:val="24"/>
                <w:szCs w:val="24"/>
              </w:rPr>
              <w:t>检查事项</w:t>
            </w:r>
          </w:p>
        </w:tc>
        <w:tc>
          <w:tcPr>
            <w:tcW w:w="1267" w:type="dxa"/>
            <w:vAlign w:val="center"/>
          </w:tcPr>
          <w:p>
            <w:pPr>
              <w:spacing w:line="360" w:lineRule="atLeast"/>
              <w:rPr>
                <w:rFonts w:ascii="Calibri" w:hAnsi="Calibri" w:cs="Calibri"/>
                <w:color w:val="000000"/>
                <w:sz w:val="24"/>
                <w:szCs w:val="24"/>
              </w:rPr>
            </w:pPr>
            <w:r>
              <w:rPr>
                <w:rFonts w:hint="eastAsia" w:ascii="仿宋_GB2312" w:hAnsi="黑体" w:eastAsia="仿宋_GB2312" w:cs="仿宋_GB2312"/>
                <w:color w:val="000000"/>
                <w:spacing w:val="-20"/>
                <w:kern w:val="0"/>
                <w:sz w:val="24"/>
                <w:szCs w:val="24"/>
              </w:rPr>
              <w:t>书面检查、</w:t>
            </w:r>
            <w:r>
              <w:rPr>
                <w:rFonts w:hint="eastAsia" w:ascii="仿宋_GB2312" w:eastAsia="仿宋_GB2312" w:cs="仿宋_GB2312"/>
                <w:color w:val="000000"/>
                <w:spacing w:val="-20"/>
                <w:sz w:val="24"/>
                <w:szCs w:val="24"/>
              </w:rPr>
              <w:t>实地核查</w:t>
            </w:r>
            <w:r>
              <w:rPr>
                <w:rFonts w:hint="eastAsia" w:ascii="仿宋_GB2312" w:hAnsi="黑体" w:eastAsia="仿宋_GB2312" w:cs="仿宋_GB2312"/>
                <w:color w:val="000000"/>
                <w:spacing w:val="-20"/>
                <w:kern w:val="0"/>
                <w:sz w:val="24"/>
                <w:szCs w:val="24"/>
              </w:rPr>
              <w:t>、网络监测</w:t>
            </w:r>
          </w:p>
        </w:tc>
        <w:tc>
          <w:tcPr>
            <w:tcW w:w="4407" w:type="dxa"/>
            <w:vAlign w:val="center"/>
          </w:tcPr>
          <w:p>
            <w:pPr>
              <w:spacing w:line="280" w:lineRule="exact"/>
              <w:rPr>
                <w:rFonts w:ascii="仿宋_GB2312" w:hAnsi="Calibri" w:eastAsia="仿宋_GB2312"/>
                <w:color w:val="000000"/>
                <w:spacing w:val="-20"/>
                <w:sz w:val="24"/>
                <w:szCs w:val="24"/>
              </w:rPr>
            </w:pPr>
            <w:r>
              <w:rPr>
                <w:rFonts w:hint="eastAsia" w:ascii="仿宋_GB2312" w:hAnsi="Calibri" w:eastAsia="仿宋_GB2312" w:cs="仿宋_GB2312"/>
                <w:color w:val="000000"/>
                <w:spacing w:val="-20"/>
                <w:sz w:val="24"/>
                <w:szCs w:val="24"/>
              </w:rPr>
              <w:t>《典当管理办法》《典当行业监管规定》</w:t>
            </w:r>
          </w:p>
        </w:tc>
        <w:tc>
          <w:tcPr>
            <w:tcW w:w="1224" w:type="dxa"/>
            <w:vAlign w:val="center"/>
          </w:tcPr>
          <w:p>
            <w:pPr>
              <w:spacing w:line="300" w:lineRule="exact"/>
              <w:jc w:val="center"/>
              <w:rPr>
                <w:rFonts w:ascii="仿宋_GB2312" w:eastAsia="仿宋_GB2312"/>
                <w:color w:val="000000"/>
                <w:spacing w:val="-20"/>
                <w:sz w:val="24"/>
                <w:szCs w:val="24"/>
              </w:rPr>
            </w:pPr>
            <w:r>
              <w:rPr>
                <w:rFonts w:hint="eastAsia" w:ascii="仿宋_GB2312" w:hAnsi="仿宋" w:eastAsia="仿宋_GB2312" w:cs="仿宋_GB2312"/>
                <w:color w:val="000000"/>
                <w:spacing w:val="-20"/>
                <w:sz w:val="24"/>
                <w:szCs w:val="24"/>
              </w:rPr>
              <w:t>金融服务办公室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8" w:hRule="atLeast"/>
        </w:trPr>
        <w:tc>
          <w:tcPr>
            <w:tcW w:w="702" w:type="dxa"/>
            <w:tcBorders>
              <w:bottom w:val="single" w:color="auto" w:sz="4" w:space="0"/>
            </w:tcBorders>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44</w:t>
            </w:r>
          </w:p>
        </w:tc>
        <w:tc>
          <w:tcPr>
            <w:tcW w:w="1228" w:type="dxa"/>
            <w:tcBorders>
              <w:bottom w:val="single" w:color="auto" w:sz="4" w:space="0"/>
            </w:tcBorders>
            <w:vAlign w:val="center"/>
          </w:tcPr>
          <w:p>
            <w:pPr>
              <w:spacing w:line="300" w:lineRule="exact"/>
              <w:rPr>
                <w:color w:val="000000"/>
                <w:sz w:val="24"/>
                <w:szCs w:val="24"/>
              </w:rPr>
            </w:pPr>
            <w:r>
              <w:rPr>
                <w:rFonts w:hint="eastAsia" w:ascii="仿宋_GB2312" w:eastAsia="仿宋_GB2312" w:cs="仿宋_GB2312"/>
                <w:color w:val="000000"/>
                <w:spacing w:val="-20"/>
                <w:sz w:val="24"/>
                <w:szCs w:val="24"/>
              </w:rPr>
              <w:t>区级重点税源企业随机抽查</w:t>
            </w:r>
          </w:p>
        </w:tc>
        <w:tc>
          <w:tcPr>
            <w:tcW w:w="3568" w:type="dxa"/>
            <w:tcBorders>
              <w:bottom w:val="single" w:color="auto" w:sz="4" w:space="0"/>
            </w:tcBorders>
            <w:vAlign w:val="center"/>
          </w:tcPr>
          <w:p>
            <w:pPr>
              <w:spacing w:line="360" w:lineRule="atLeast"/>
              <w:rPr>
                <w:color w:val="000000"/>
                <w:sz w:val="24"/>
                <w:szCs w:val="24"/>
              </w:rPr>
            </w:pPr>
            <w:r>
              <w:rPr>
                <w:rFonts w:hint="eastAsia" w:ascii="仿宋_GB2312" w:eastAsia="仿宋_GB2312" w:cs="仿宋_GB2312"/>
                <w:color w:val="000000"/>
                <w:spacing w:val="-20"/>
                <w:sz w:val="24"/>
                <w:szCs w:val="24"/>
              </w:rPr>
              <w:t>依法检查纳税人、扣缴义务人和其他涉税当事人履行纳税义务、扣缴税款义务情况及其他税法遵从情况</w:t>
            </w:r>
          </w:p>
        </w:tc>
        <w:tc>
          <w:tcPr>
            <w:tcW w:w="1283" w:type="dxa"/>
            <w:vAlign w:val="center"/>
          </w:tcPr>
          <w:p>
            <w:pPr>
              <w:spacing w:line="360" w:lineRule="atLeast"/>
              <w:rPr>
                <w:color w:val="000000"/>
                <w:sz w:val="24"/>
                <w:szCs w:val="24"/>
              </w:rPr>
            </w:pPr>
            <w:r>
              <w:rPr>
                <w:rFonts w:hint="eastAsia" w:ascii="仿宋_GB2312" w:eastAsia="仿宋_GB2312" w:cs="仿宋_GB2312"/>
                <w:color w:val="000000"/>
                <w:spacing w:val="-20"/>
                <w:sz w:val="24"/>
                <w:szCs w:val="24"/>
              </w:rPr>
              <w:t>纳税人、扣缴义务人和其他涉税当事人</w:t>
            </w:r>
          </w:p>
        </w:tc>
        <w:tc>
          <w:tcPr>
            <w:tcW w:w="1283" w:type="dxa"/>
            <w:vAlign w:val="center"/>
          </w:tcPr>
          <w:p>
            <w:pPr>
              <w:spacing w:line="360" w:lineRule="atLeast"/>
              <w:jc w:val="center"/>
              <w:rPr>
                <w:color w:val="000000"/>
                <w:sz w:val="24"/>
                <w:szCs w:val="24"/>
              </w:rPr>
            </w:pPr>
            <w:r>
              <w:rPr>
                <w:rFonts w:hint="eastAsia" w:ascii="仿宋_GB2312" w:eastAsia="仿宋_GB2312" w:cs="仿宋_GB2312"/>
                <w:color w:val="000000"/>
                <w:spacing w:val="-20"/>
                <w:sz w:val="24"/>
                <w:szCs w:val="24"/>
              </w:rPr>
              <w:t>一般</w:t>
            </w:r>
          </w:p>
          <w:p>
            <w:pPr>
              <w:spacing w:line="360" w:lineRule="atLeast"/>
              <w:jc w:val="center"/>
              <w:rPr>
                <w:color w:val="000000"/>
                <w:sz w:val="24"/>
                <w:szCs w:val="24"/>
              </w:rPr>
            </w:pPr>
            <w:r>
              <w:rPr>
                <w:rFonts w:hint="eastAsia" w:ascii="仿宋_GB2312" w:eastAsia="仿宋_GB2312" w:cs="仿宋_GB2312"/>
                <w:color w:val="000000"/>
                <w:spacing w:val="-20"/>
                <w:sz w:val="24"/>
                <w:szCs w:val="24"/>
              </w:rPr>
              <w:t>检查事项</w:t>
            </w:r>
          </w:p>
        </w:tc>
        <w:tc>
          <w:tcPr>
            <w:tcW w:w="1267" w:type="dxa"/>
            <w:vAlign w:val="center"/>
          </w:tcPr>
          <w:p>
            <w:pPr>
              <w:spacing w:line="360" w:lineRule="atLeast"/>
              <w:rPr>
                <w:color w:val="000000"/>
                <w:sz w:val="24"/>
                <w:szCs w:val="24"/>
              </w:rPr>
            </w:pPr>
            <w:r>
              <w:rPr>
                <w:rFonts w:hint="eastAsia" w:ascii="仿宋_GB2312" w:hAnsi="黑体" w:eastAsia="仿宋_GB2312" w:cs="仿宋_GB2312"/>
                <w:color w:val="000000"/>
                <w:spacing w:val="-20"/>
                <w:kern w:val="0"/>
                <w:sz w:val="24"/>
                <w:szCs w:val="24"/>
              </w:rPr>
              <w:t>书面检查、</w:t>
            </w:r>
            <w:r>
              <w:rPr>
                <w:rFonts w:hint="eastAsia" w:ascii="仿宋_GB2312" w:eastAsia="仿宋_GB2312" w:cs="仿宋_GB2312"/>
                <w:color w:val="000000"/>
                <w:spacing w:val="-20"/>
                <w:sz w:val="24"/>
                <w:szCs w:val="24"/>
              </w:rPr>
              <w:t>实地核查</w:t>
            </w:r>
          </w:p>
        </w:tc>
        <w:tc>
          <w:tcPr>
            <w:tcW w:w="4407" w:type="dxa"/>
            <w:vAlign w:val="center"/>
          </w:tcPr>
          <w:p>
            <w:pPr>
              <w:spacing w:line="280" w:lineRule="exact"/>
              <w:rPr>
                <w:color w:val="000000"/>
                <w:sz w:val="24"/>
                <w:szCs w:val="24"/>
              </w:rPr>
            </w:pPr>
            <w:r>
              <w:rPr>
                <w:rFonts w:hint="eastAsia" w:ascii="仿宋_GB2312" w:eastAsia="仿宋_GB2312" w:cs="仿宋_GB2312"/>
                <w:color w:val="000000"/>
                <w:spacing w:val="-20"/>
                <w:sz w:val="24"/>
                <w:szCs w:val="24"/>
              </w:rPr>
              <w:t>《中华人民共和国税收征收管理法》第五十四条、第五十五条、第五十六条、第五十七条、第五十八条；《国家税务总局关于印发〈税务稽查工作规程〉的通知》（国税发〔</w:t>
            </w:r>
            <w:r>
              <w:rPr>
                <w:rFonts w:ascii="仿宋_GB2312" w:eastAsia="仿宋_GB2312" w:cs="仿宋_GB2312"/>
                <w:color w:val="000000"/>
                <w:spacing w:val="-20"/>
                <w:sz w:val="24"/>
                <w:szCs w:val="24"/>
              </w:rPr>
              <w:t>2009</w:t>
            </w:r>
            <w:r>
              <w:rPr>
                <w:rFonts w:hint="eastAsia" w:ascii="仿宋_GB2312" w:eastAsia="仿宋_GB2312" w:cs="仿宋_GB2312"/>
                <w:color w:val="000000"/>
                <w:spacing w:val="-20"/>
                <w:sz w:val="24"/>
                <w:szCs w:val="24"/>
              </w:rPr>
              <w:t>〕</w:t>
            </w:r>
            <w:r>
              <w:rPr>
                <w:rFonts w:ascii="仿宋_GB2312" w:eastAsia="仿宋_GB2312" w:cs="仿宋_GB2312"/>
                <w:color w:val="000000"/>
                <w:spacing w:val="-20"/>
                <w:sz w:val="24"/>
                <w:szCs w:val="24"/>
              </w:rPr>
              <w:t>157</w:t>
            </w:r>
            <w:r>
              <w:rPr>
                <w:rFonts w:hint="eastAsia" w:ascii="仿宋_GB2312" w:eastAsia="仿宋_GB2312" w:cs="仿宋_GB2312"/>
                <w:color w:val="000000"/>
                <w:spacing w:val="-20"/>
                <w:sz w:val="24"/>
                <w:szCs w:val="24"/>
              </w:rPr>
              <w:t>号）</w:t>
            </w:r>
          </w:p>
        </w:tc>
        <w:tc>
          <w:tcPr>
            <w:tcW w:w="1224" w:type="dxa"/>
            <w:vAlign w:val="center"/>
          </w:tcPr>
          <w:p>
            <w:pPr>
              <w:spacing w:line="300" w:lineRule="exact"/>
              <w:jc w:val="center"/>
              <w:rPr>
                <w:color w:val="000000"/>
                <w:sz w:val="24"/>
                <w:szCs w:val="24"/>
              </w:rPr>
            </w:pPr>
            <w:r>
              <w:rPr>
                <w:rFonts w:hint="eastAsia" w:ascii="仿宋_GB2312" w:eastAsia="仿宋_GB2312" w:cs="仿宋_GB2312"/>
                <w:color w:val="000000"/>
                <w:spacing w:val="-20"/>
                <w:sz w:val="24"/>
                <w:szCs w:val="24"/>
              </w:rPr>
              <w:t>高新税务局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702" w:type="dxa"/>
            <w:vMerge w:val="restart"/>
            <w:tcBorders>
              <w:top w:val="single" w:color="auto" w:sz="4" w:space="0"/>
            </w:tcBorders>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tcBorders>
              <w:top w:val="single" w:color="auto" w:sz="4" w:space="0"/>
              <w:bottom w:val="single" w:color="auto" w:sz="4" w:space="0"/>
            </w:tcBorders>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2"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45</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登记事项检查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营业执照（登记证）规范使用情况的检查</w:t>
            </w:r>
          </w:p>
        </w:tc>
        <w:tc>
          <w:tcPr>
            <w:tcW w:w="1283"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企业、个体工商户、农民专业合作社</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书面检查、实地核查、</w:t>
            </w:r>
          </w:p>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网络监测</w:t>
            </w:r>
          </w:p>
        </w:tc>
        <w:tc>
          <w:tcPr>
            <w:tcW w:w="4407"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市场主体登记管理条例》；《促进个体工商户发展条例》；《外商投资合伙企业登记管理规定》第五十七条、第五十八条；《个人独资企业法》第三十五条；《个人独资企业登记管理办法》第四十条、第四十一条、第四十二条、第四十三条；《电子商务法》第十五条</w:t>
            </w:r>
          </w:p>
        </w:tc>
        <w:tc>
          <w:tcPr>
            <w:tcW w:w="1224" w:type="dxa"/>
            <w:vMerge w:val="restart"/>
            <w:vAlign w:val="center"/>
          </w:tcPr>
          <w:p>
            <w:pPr>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市场</w:t>
            </w:r>
          </w:p>
          <w:p>
            <w:pPr>
              <w:jc w:val="center"/>
              <w:rPr>
                <w:rFonts w:ascii="宋体"/>
                <w:b/>
                <w:bCs/>
                <w:color w:val="000000"/>
                <w:sz w:val="24"/>
                <w:szCs w:val="24"/>
              </w:rPr>
            </w:pPr>
            <w:r>
              <w:rPr>
                <w:rFonts w:hint="eastAsia" w:ascii="仿宋_GB2312" w:hAnsi="仿宋" w:eastAsia="仿宋_GB2312" w:cs="仿宋_GB2312"/>
                <w:color w:val="000000"/>
                <w:spacing w:val="-20"/>
                <w:kern w:val="0"/>
                <w:sz w:val="24"/>
                <w:szCs w:val="24"/>
              </w:rPr>
              <w:t>监管分局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4"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名称规范使用情况的检查</w:t>
            </w:r>
          </w:p>
        </w:tc>
        <w:tc>
          <w:tcPr>
            <w:tcW w:w="1283"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4407"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企业名称登记管理规定》第二十六条、二十七条；《市场主体登记管理条例》；《促进个体工商户发展条例》；《个体工商户条例》第二十三条第一款；《个人独资企业法》第三十四条；《合伙企业法》第九十四条；《外商投资合伙企业登记管理规定》第五十四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3"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经营（驻在）期限的检查</w:t>
            </w:r>
          </w:p>
        </w:tc>
        <w:tc>
          <w:tcPr>
            <w:tcW w:w="1283"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实地核查</w:t>
            </w:r>
          </w:p>
        </w:tc>
        <w:tc>
          <w:tcPr>
            <w:tcW w:w="4407" w:type="dxa"/>
            <w:vAlign w:val="center"/>
          </w:tcPr>
          <w:p>
            <w:pPr>
              <w:kinsoku w:val="0"/>
              <w:overflowPunct w:val="0"/>
              <w:autoSpaceDE w:val="0"/>
              <w:autoSpaceDN w:val="0"/>
              <w:adjustRightInd w:val="0"/>
              <w:snapToGrid w:val="0"/>
              <w:spacing w:line="280" w:lineRule="exact"/>
              <w:rPr>
                <w:rFonts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《公司法》第二百一十一条第二款；《市场主体登记管理条例》；《促进个体工商户发展条例》；《合伙企业法》第九十五条第二款；《外商投资合伙企业登记管理规定》第五十三条</w:t>
            </w:r>
            <w:r>
              <w:rPr>
                <w:rFonts w:ascii="仿宋_GB2312" w:hAnsi="仿宋" w:eastAsia="仿宋_GB2312" w:cs="仿宋_GB2312"/>
                <w:color w:val="000000"/>
                <w:spacing w:val="-20"/>
                <w:kern w:val="0"/>
                <w:sz w:val="24"/>
                <w:szCs w:val="24"/>
              </w:rPr>
              <w:t xml:space="preserve"> </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4"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46</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登记事项检查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经营（业务）范围中无需审批的经营（业务）项目检查</w:t>
            </w:r>
          </w:p>
        </w:tc>
        <w:tc>
          <w:tcPr>
            <w:tcW w:w="1283" w:type="dxa"/>
            <w:vMerge w:val="restart"/>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企业、个体工商户、农民专业合作社</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实地核查</w:t>
            </w:r>
          </w:p>
        </w:tc>
        <w:tc>
          <w:tcPr>
            <w:tcW w:w="4407" w:type="dxa"/>
            <w:vMerge w:val="restart"/>
            <w:vAlign w:val="center"/>
          </w:tcPr>
          <w:p>
            <w:pPr>
              <w:kinsoku w:val="0"/>
              <w:overflowPunct w:val="0"/>
              <w:autoSpaceDE w:val="0"/>
              <w:autoSpaceDN w:val="0"/>
              <w:adjustRightInd w:val="0"/>
              <w:snapToGrid w:val="0"/>
              <w:spacing w:line="240" w:lineRule="exact"/>
              <w:rPr>
                <w:rFonts w:ascii="仿宋_GB2312" w:hAnsi="仿宋" w:eastAsia="仿宋_GB2312" w:cs="仿宋_GB2312"/>
                <w:color w:val="000000"/>
                <w:spacing w:val="-32"/>
                <w:kern w:val="0"/>
                <w:sz w:val="24"/>
                <w:szCs w:val="24"/>
              </w:rPr>
            </w:pPr>
            <w:r>
              <w:rPr>
                <w:rFonts w:hint="eastAsia" w:ascii="仿宋_GB2312" w:hAnsi="仿宋" w:eastAsia="仿宋_GB2312" w:cs="仿宋_GB2312"/>
                <w:color w:val="000000"/>
                <w:spacing w:val="-32"/>
                <w:kern w:val="0"/>
                <w:sz w:val="24"/>
                <w:szCs w:val="24"/>
              </w:rPr>
              <w:t>《</w:t>
            </w:r>
            <w:r>
              <w:rPr>
                <w:rFonts w:hint="eastAsia" w:ascii="仿宋_GB2312" w:hAnsi="仿宋" w:eastAsia="仿宋_GB2312" w:cs="仿宋_GB2312"/>
                <w:color w:val="000000"/>
                <w:spacing w:val="-20"/>
                <w:kern w:val="0"/>
                <w:sz w:val="24"/>
                <w:szCs w:val="24"/>
              </w:rPr>
              <w:t>《市场主体登记管理条例》；《促进个体工商户发展条例》；</w:t>
            </w:r>
            <w:r>
              <w:rPr>
                <w:rFonts w:hint="eastAsia" w:ascii="仿宋_GB2312" w:hAnsi="仿宋" w:eastAsia="仿宋_GB2312" w:cs="仿宋_GB2312"/>
                <w:color w:val="000000"/>
                <w:spacing w:val="-32"/>
                <w:kern w:val="0"/>
                <w:sz w:val="24"/>
                <w:szCs w:val="24"/>
              </w:rPr>
              <w:t>《公司法》第二百一十一条第二款</w:t>
            </w:r>
            <w:r>
              <w:rPr>
                <w:rFonts w:ascii="仿宋_GB2312" w:hAnsi="仿宋" w:eastAsia="仿宋_GB2312"/>
                <w:color w:val="000000"/>
                <w:spacing w:val="-32"/>
                <w:kern w:val="0"/>
                <w:sz w:val="24"/>
                <w:szCs w:val="24"/>
              </w:rPr>
              <w:br w:type="page"/>
            </w:r>
            <w:r>
              <w:rPr>
                <w:rFonts w:hint="eastAsia" w:ascii="仿宋_GB2312" w:hAnsi="仿宋" w:eastAsia="仿宋_GB2312" w:cs="仿宋_GB2312"/>
                <w:color w:val="000000"/>
                <w:spacing w:val="-32"/>
                <w:kern w:val="0"/>
                <w:sz w:val="24"/>
                <w:szCs w:val="24"/>
              </w:rPr>
              <w:t>；《合伙企业法》第九十五条第二款</w:t>
            </w:r>
            <w:r>
              <w:rPr>
                <w:rFonts w:ascii="仿宋_GB2312" w:hAnsi="仿宋" w:eastAsia="仿宋_GB2312"/>
                <w:color w:val="000000"/>
                <w:spacing w:val="-32"/>
                <w:kern w:val="0"/>
                <w:sz w:val="24"/>
                <w:szCs w:val="24"/>
              </w:rPr>
              <w:br w:type="page"/>
            </w:r>
            <w:r>
              <w:rPr>
                <w:rFonts w:hint="eastAsia" w:ascii="仿宋_GB2312" w:hAnsi="仿宋" w:eastAsia="仿宋_GB2312" w:cs="仿宋_GB2312"/>
                <w:color w:val="000000"/>
                <w:spacing w:val="-32"/>
                <w:kern w:val="0"/>
                <w:sz w:val="24"/>
                <w:szCs w:val="24"/>
              </w:rPr>
              <w:t>；《个人独资企业法》第三十七条第二款</w:t>
            </w:r>
            <w:r>
              <w:rPr>
                <w:rFonts w:ascii="仿宋_GB2312" w:hAnsi="仿宋" w:eastAsia="仿宋_GB2312"/>
                <w:color w:val="000000"/>
                <w:spacing w:val="-32"/>
                <w:kern w:val="0"/>
                <w:sz w:val="24"/>
                <w:szCs w:val="24"/>
              </w:rPr>
              <w:br w:type="page"/>
            </w:r>
            <w:r>
              <w:rPr>
                <w:rFonts w:hint="eastAsia" w:ascii="仿宋_GB2312" w:hAnsi="仿宋" w:eastAsia="仿宋_GB2312" w:cs="仿宋_GB2312"/>
                <w:color w:val="000000"/>
                <w:spacing w:val="-32"/>
                <w:kern w:val="0"/>
                <w:sz w:val="24"/>
                <w:szCs w:val="24"/>
              </w:rPr>
              <w:t>；《外商投资合伙企业登记管理规定》第五十三条</w:t>
            </w:r>
            <w:r>
              <w:rPr>
                <w:rFonts w:ascii="仿宋_GB2312" w:hAnsi="仿宋" w:eastAsia="仿宋_GB2312"/>
                <w:color w:val="000000"/>
                <w:spacing w:val="-32"/>
                <w:kern w:val="0"/>
                <w:sz w:val="24"/>
                <w:szCs w:val="24"/>
              </w:rPr>
              <w:br w:type="page"/>
            </w:r>
            <w:r>
              <w:rPr>
                <w:rFonts w:hint="eastAsia" w:ascii="仿宋_GB2312" w:hAnsi="仿宋" w:eastAsia="仿宋_GB2312" w:cs="仿宋_GB2312"/>
                <w:color w:val="000000"/>
                <w:spacing w:val="-32"/>
                <w:kern w:val="0"/>
                <w:sz w:val="24"/>
                <w:szCs w:val="24"/>
              </w:rPr>
              <w:t>；《个人独资企业登记管理办法》第三十八条</w:t>
            </w:r>
            <w:r>
              <w:rPr>
                <w:rFonts w:ascii="仿宋_GB2312" w:hAnsi="仿宋" w:eastAsia="仿宋_GB2312"/>
                <w:color w:val="000000"/>
                <w:spacing w:val="-32"/>
                <w:kern w:val="0"/>
                <w:sz w:val="24"/>
                <w:szCs w:val="24"/>
              </w:rPr>
              <w:br w:type="page"/>
            </w:r>
            <w:r>
              <w:rPr>
                <w:rFonts w:hint="eastAsia" w:ascii="仿宋_GB2312" w:hAnsi="仿宋" w:eastAsia="仿宋_GB2312" w:cs="仿宋_GB2312"/>
                <w:color w:val="000000"/>
                <w:spacing w:val="-32"/>
                <w:kern w:val="0"/>
                <w:sz w:val="24"/>
                <w:szCs w:val="24"/>
              </w:rPr>
              <w:t>；</w:t>
            </w:r>
            <w:r>
              <w:rPr>
                <w:rFonts w:ascii="仿宋_GB2312" w:hAnsi="仿宋" w:eastAsia="仿宋_GB2312" w:cs="仿宋_GB2312"/>
                <w:color w:val="000000"/>
                <w:spacing w:val="-32"/>
                <w:kern w:val="0"/>
                <w:sz w:val="24"/>
                <w:szCs w:val="24"/>
              </w:rPr>
              <w:t xml:space="preserve"> </w:t>
            </w:r>
          </w:p>
        </w:tc>
        <w:tc>
          <w:tcPr>
            <w:tcW w:w="1224" w:type="dxa"/>
            <w:vMerge w:val="restart"/>
            <w:vAlign w:val="center"/>
          </w:tcPr>
          <w:p>
            <w:pPr>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市场</w:t>
            </w:r>
          </w:p>
          <w:p>
            <w:pPr>
              <w:jc w:val="center"/>
              <w:rPr>
                <w:rFonts w:ascii="宋体"/>
                <w:b/>
                <w:bCs/>
                <w:color w:val="000000"/>
                <w:sz w:val="24"/>
                <w:szCs w:val="24"/>
              </w:rPr>
            </w:pPr>
            <w:r>
              <w:rPr>
                <w:rFonts w:hint="eastAsia" w:ascii="仿宋_GB2312" w:hAnsi="仿宋" w:eastAsia="仿宋_GB2312" w:cs="仿宋_GB2312"/>
                <w:color w:val="000000"/>
                <w:spacing w:val="-20"/>
                <w:kern w:val="0"/>
                <w:sz w:val="24"/>
                <w:szCs w:val="24"/>
              </w:rPr>
              <w:t>监管分局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住所（经营场所）或驻在场所的</w:t>
            </w:r>
          </w:p>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w:t>
            </w:r>
          </w:p>
        </w:tc>
        <w:tc>
          <w:tcPr>
            <w:tcW w:w="1283" w:type="dxa"/>
            <w:vMerge w:val="continue"/>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20"/>
                <w:kern w:val="0"/>
                <w:sz w:val="24"/>
                <w:szCs w:val="24"/>
              </w:rPr>
            </w:pP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240" w:lineRule="exact"/>
              <w:rPr>
                <w:rFonts w:ascii="仿宋_GB2312" w:hAnsi="仿宋" w:eastAsia="仿宋_GB2312"/>
                <w:color w:val="000000"/>
                <w:spacing w:val="-30"/>
                <w:kern w:val="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注册资本实缴情况的检查</w:t>
            </w:r>
          </w:p>
        </w:tc>
        <w:tc>
          <w:tcPr>
            <w:tcW w:w="1283"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国务院通知明确的暂不实行注册资本认缴登记制的行业企业</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4407" w:type="dxa"/>
            <w:vAlign w:val="center"/>
          </w:tcPr>
          <w:p>
            <w:pPr>
              <w:kinsoku w:val="0"/>
              <w:overflowPunct w:val="0"/>
              <w:autoSpaceDE w:val="0"/>
              <w:autoSpaceDN w:val="0"/>
              <w:adjustRightInd w:val="0"/>
              <w:snapToGrid w:val="0"/>
              <w:spacing w:line="240" w:lineRule="exact"/>
              <w:rPr>
                <w:rFonts w:ascii="仿宋_GB2312" w:hAnsi="仿宋" w:eastAsia="仿宋_GB2312"/>
                <w:color w:val="000000"/>
                <w:spacing w:val="-30"/>
                <w:kern w:val="0"/>
                <w:sz w:val="24"/>
                <w:szCs w:val="24"/>
              </w:rPr>
            </w:pPr>
            <w:r>
              <w:rPr>
                <w:rFonts w:hint="eastAsia" w:ascii="仿宋_GB2312" w:hAnsi="仿宋" w:eastAsia="仿宋_GB2312" w:cs="仿宋_GB2312"/>
                <w:color w:val="000000"/>
                <w:spacing w:val="-20"/>
                <w:kern w:val="0"/>
                <w:sz w:val="24"/>
                <w:szCs w:val="24"/>
              </w:rPr>
              <w:t>《市场主体登记管理条例》；《促进个体工商户发展条例》；</w:t>
            </w:r>
            <w:r>
              <w:rPr>
                <w:rFonts w:hint="eastAsia" w:ascii="仿宋_GB2312" w:hAnsi="仿宋" w:eastAsia="仿宋_GB2312" w:cs="仿宋_GB2312"/>
                <w:color w:val="000000"/>
                <w:spacing w:val="-30"/>
                <w:kern w:val="0"/>
                <w:sz w:val="24"/>
                <w:szCs w:val="24"/>
              </w:rPr>
              <w:t>《公司法》第一百九十八条至第二百条、第二百一十一条第二款；《合伙企业法》第九十五条第二款；《个人独资企业法》第三十七条第二款；《外商投资合伙企业登记管理规定》第五十三条；《个人独资企业登记管理办法》第三十八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法定代表人（负责人）任职情况的检查</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企业</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4407" w:type="dxa"/>
            <w:vAlign w:val="center"/>
          </w:tcPr>
          <w:p>
            <w:pPr>
              <w:kinsoku w:val="0"/>
              <w:overflowPunct w:val="0"/>
              <w:autoSpaceDE w:val="0"/>
              <w:autoSpaceDN w:val="0"/>
              <w:adjustRightInd w:val="0"/>
              <w:snapToGrid w:val="0"/>
              <w:spacing w:line="240" w:lineRule="exact"/>
              <w:rPr>
                <w:rFonts w:ascii="仿宋_GB2312" w:hAnsi="仿宋" w:eastAsia="仿宋_GB2312"/>
                <w:color w:val="000000"/>
                <w:spacing w:val="-30"/>
                <w:kern w:val="0"/>
                <w:sz w:val="24"/>
                <w:szCs w:val="24"/>
              </w:rPr>
            </w:pPr>
            <w:r>
              <w:rPr>
                <w:rFonts w:hint="eastAsia" w:ascii="仿宋_GB2312" w:hAnsi="仿宋" w:eastAsia="仿宋_GB2312" w:cs="仿宋_GB2312"/>
                <w:color w:val="000000"/>
                <w:spacing w:val="-30"/>
                <w:kern w:val="0"/>
                <w:sz w:val="24"/>
                <w:szCs w:val="24"/>
              </w:rPr>
              <w:t>《</w:t>
            </w:r>
            <w:r>
              <w:rPr>
                <w:rFonts w:hint="eastAsia" w:ascii="仿宋_GB2312" w:hAnsi="仿宋" w:eastAsia="仿宋_GB2312" w:cs="仿宋_GB2312"/>
                <w:color w:val="000000"/>
                <w:spacing w:val="-20"/>
                <w:kern w:val="0"/>
                <w:sz w:val="24"/>
                <w:szCs w:val="24"/>
              </w:rPr>
              <w:t>《市场主体登记管理条例》；《促进个体工商户发展条例》；</w:t>
            </w:r>
            <w:r>
              <w:rPr>
                <w:rFonts w:hint="eastAsia" w:ascii="仿宋_GB2312" w:hAnsi="仿宋" w:eastAsia="仿宋_GB2312" w:cs="仿宋_GB2312"/>
                <w:color w:val="000000"/>
                <w:spacing w:val="-30"/>
                <w:kern w:val="0"/>
                <w:sz w:val="24"/>
                <w:szCs w:val="24"/>
              </w:rPr>
              <w:t>《公司法》第二百一十一条第二款；《合伙企业法》第九十五条第二款；《外商投资合伙企业登记管理规定》第五十三条；《个人独资企业法》第三十七条第二款；《个人独资企业登记管理办法》第三十八条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3"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法定代表人、自然人股东身份真实性的检查</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企业</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4407" w:type="dxa"/>
            <w:vAlign w:val="center"/>
          </w:tcPr>
          <w:p>
            <w:pPr>
              <w:kinsoku w:val="0"/>
              <w:overflowPunct w:val="0"/>
              <w:autoSpaceDE w:val="0"/>
              <w:autoSpaceDN w:val="0"/>
              <w:adjustRightInd w:val="0"/>
              <w:snapToGrid w:val="0"/>
              <w:spacing w:line="260" w:lineRule="exact"/>
              <w:rPr>
                <w:rFonts w:ascii="仿宋_GB2312" w:hAnsi="仿宋" w:eastAsia="仿宋_GB2312"/>
                <w:color w:val="000000"/>
                <w:spacing w:val="-30"/>
                <w:kern w:val="0"/>
                <w:sz w:val="24"/>
                <w:szCs w:val="24"/>
              </w:rPr>
            </w:pPr>
            <w:r>
              <w:rPr>
                <w:rFonts w:hint="eastAsia" w:ascii="仿宋_GB2312" w:hAnsi="仿宋" w:eastAsia="仿宋_GB2312" w:cs="仿宋_GB2312"/>
                <w:color w:val="000000"/>
                <w:spacing w:val="-30"/>
                <w:kern w:val="0"/>
                <w:sz w:val="24"/>
                <w:szCs w:val="24"/>
              </w:rPr>
              <w:t>《公司法》第一百九十八条；《合伙企业法》第九十三条；《个人独资企业法》第三十三条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8"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47</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公示信息检查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年度报告公示信息的检查</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企业、个体工商户、农民专业合作社</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restart"/>
            <w:vAlign w:val="center"/>
          </w:tcPr>
          <w:p>
            <w:pPr>
              <w:kinsoku w:val="0"/>
              <w:overflowPunct w:val="0"/>
              <w:autoSpaceDE w:val="0"/>
              <w:autoSpaceDN w:val="0"/>
              <w:adjustRightInd w:val="0"/>
              <w:snapToGrid w:val="0"/>
              <w:spacing w:line="360" w:lineRule="exact"/>
              <w:jc w:val="lef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书面检查、实地核查、网络监测、</w:t>
            </w:r>
            <w:r>
              <w:rPr>
                <w:rFonts w:hint="eastAsia" w:ascii="仿宋_GB2312" w:hAnsi="仿宋" w:eastAsia="仿宋_GB2312" w:cs="仿宋_GB2312"/>
                <w:color w:val="000000"/>
                <w:spacing w:val="-34"/>
                <w:kern w:val="0"/>
                <w:sz w:val="24"/>
                <w:szCs w:val="24"/>
              </w:rPr>
              <w:t>专业机构核查</w:t>
            </w: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《企业信息公示暂行条例》第三条、第八条、第九条、第十一条、第十二条、第十五条、第十七条</w:t>
            </w:r>
            <w:r>
              <w:rPr>
                <w:rFonts w:ascii="仿宋_GB2312" w:hAnsi="仿宋" w:eastAsia="仿宋_GB2312"/>
                <w:color w:val="000000"/>
                <w:spacing w:val="-20"/>
                <w:kern w:val="0"/>
                <w:sz w:val="24"/>
                <w:szCs w:val="24"/>
              </w:rPr>
              <w:br w:type="page"/>
            </w:r>
            <w:r>
              <w:rPr>
                <w:rFonts w:hint="eastAsia" w:ascii="仿宋_GB2312" w:hAnsi="仿宋" w:eastAsia="仿宋_GB2312" w:cs="仿宋_GB2312"/>
                <w:color w:val="000000"/>
                <w:spacing w:val="-20"/>
                <w:kern w:val="0"/>
                <w:sz w:val="24"/>
                <w:szCs w:val="24"/>
              </w:rPr>
              <w:t>；《企业公示信息抽查暂行办法》第十条、第十二条</w:t>
            </w:r>
            <w:r>
              <w:rPr>
                <w:rFonts w:ascii="仿宋_GB2312" w:hAnsi="仿宋" w:eastAsia="仿宋_GB2312"/>
                <w:color w:val="000000"/>
                <w:spacing w:val="-20"/>
                <w:kern w:val="0"/>
                <w:sz w:val="24"/>
                <w:szCs w:val="24"/>
              </w:rPr>
              <w:br w:type="page"/>
            </w:r>
            <w:r>
              <w:rPr>
                <w:rFonts w:hint="eastAsia" w:ascii="仿宋_GB2312" w:hAnsi="仿宋" w:eastAsia="仿宋_GB2312" w:cs="仿宋_GB2312"/>
                <w:color w:val="000000"/>
                <w:spacing w:val="-20"/>
                <w:kern w:val="0"/>
                <w:sz w:val="24"/>
                <w:szCs w:val="24"/>
              </w:rPr>
              <w:t>；《企业经营异常名录管理暂行办法》第四条、第六条、第八条、第九条</w:t>
            </w:r>
            <w:r>
              <w:rPr>
                <w:rFonts w:ascii="仿宋_GB2312" w:hAnsi="仿宋" w:eastAsia="仿宋_GB2312"/>
                <w:color w:val="000000"/>
                <w:spacing w:val="-20"/>
                <w:kern w:val="0"/>
                <w:sz w:val="24"/>
                <w:szCs w:val="24"/>
              </w:rPr>
              <w:br w:type="page"/>
            </w:r>
            <w:r>
              <w:rPr>
                <w:rFonts w:hint="eastAsia" w:ascii="仿宋_GB2312" w:hAnsi="仿宋" w:eastAsia="仿宋_GB2312" w:cs="仿宋_GB2312"/>
                <w:color w:val="000000"/>
                <w:spacing w:val="-20"/>
                <w:kern w:val="0"/>
                <w:sz w:val="24"/>
                <w:szCs w:val="24"/>
              </w:rPr>
              <w:t>；《个体工商户年度报告暂行办法》第六条、第十一条；《农民专业合作社年度报告公示暂行办法》第五条、第八条</w:t>
            </w:r>
          </w:p>
        </w:tc>
        <w:tc>
          <w:tcPr>
            <w:tcW w:w="1224" w:type="dxa"/>
            <w:vMerge w:val="restart"/>
            <w:vAlign w:val="center"/>
          </w:tcPr>
          <w:p>
            <w:pPr>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市场</w:t>
            </w:r>
          </w:p>
          <w:p>
            <w:pPr>
              <w:jc w:val="center"/>
              <w:rPr>
                <w:rFonts w:ascii="宋体"/>
                <w:b/>
                <w:bCs/>
                <w:color w:val="000000"/>
                <w:sz w:val="24"/>
                <w:szCs w:val="24"/>
              </w:rPr>
            </w:pPr>
            <w:r>
              <w:rPr>
                <w:rFonts w:hint="eastAsia" w:ascii="仿宋_GB2312" w:hAnsi="仿宋" w:eastAsia="仿宋_GB2312" w:cs="仿宋_GB2312"/>
                <w:color w:val="000000"/>
                <w:spacing w:val="-20"/>
                <w:kern w:val="0"/>
                <w:sz w:val="24"/>
                <w:szCs w:val="24"/>
              </w:rPr>
              <w:t>监管分局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7"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即时公示信息的检查</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企业</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企业信息公示暂行条例》第三条、第十条、第十一条、第十二条、第十五条、第十七条；《企业公示信息抽查暂行办法》第十条、第十二条；《企业经营异常名录管理暂行办法》第四条、第七条、第八条、第九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8" w:hRule="atLeast"/>
        </w:trPr>
        <w:tc>
          <w:tcPr>
            <w:tcW w:w="702" w:type="dxa"/>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48</w:t>
            </w:r>
          </w:p>
        </w:tc>
        <w:tc>
          <w:tcPr>
            <w:tcW w:w="122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电子商务经营行为监督检查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电子商务平台经营者履行主体责任的检查</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电子商务平台经营者</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书面检查、网络监测、</w:t>
            </w:r>
            <w:r>
              <w:rPr>
                <w:rFonts w:hint="eastAsia" w:ascii="仿宋_GB2312" w:hAnsi="仿宋" w:eastAsia="仿宋_GB2312" w:cs="仿宋_GB2312"/>
                <w:color w:val="000000"/>
                <w:spacing w:val="-34"/>
                <w:kern w:val="0"/>
                <w:sz w:val="24"/>
                <w:szCs w:val="24"/>
              </w:rPr>
              <w:t>专业机构核查</w:t>
            </w: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《电子商务法》第二十七条、第三十一条、第三十二条、第三十三条、第三十四条、第三十六条、第三十七条、第三十九条、第四十条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49</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拍卖等重要领域市场规范管理检查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拍卖活动经营资格的检查</w:t>
            </w:r>
          </w:p>
        </w:tc>
        <w:tc>
          <w:tcPr>
            <w:tcW w:w="1283"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企业、个体工商户</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书面检查、实地核查</w:t>
            </w: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《拍卖法》第十一条、第六十条；《拍卖监督管理办法》第四条、第十一条</w:t>
            </w:r>
          </w:p>
        </w:tc>
        <w:tc>
          <w:tcPr>
            <w:tcW w:w="1224" w:type="dxa"/>
            <w:vMerge w:val="restart"/>
            <w:vAlign w:val="center"/>
          </w:tcPr>
          <w:p>
            <w:pPr>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市场</w:t>
            </w:r>
          </w:p>
          <w:p>
            <w:pPr>
              <w:jc w:val="center"/>
              <w:rPr>
                <w:rFonts w:ascii="宋体"/>
                <w:b/>
                <w:bCs/>
                <w:color w:val="000000"/>
                <w:sz w:val="24"/>
                <w:szCs w:val="24"/>
              </w:rPr>
            </w:pPr>
            <w:r>
              <w:rPr>
                <w:rFonts w:hint="eastAsia" w:ascii="仿宋_GB2312" w:hAnsi="仿宋" w:eastAsia="仿宋_GB2312" w:cs="仿宋_GB2312"/>
                <w:color w:val="000000"/>
                <w:spacing w:val="-20"/>
                <w:kern w:val="0"/>
                <w:sz w:val="24"/>
                <w:szCs w:val="24"/>
              </w:rPr>
              <w:t>监管分局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7"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文物经营活动经营资格的检查</w:t>
            </w:r>
          </w:p>
        </w:tc>
        <w:tc>
          <w:tcPr>
            <w:tcW w:w="1283"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《文物保护法》第五十三条、第五十四条、第七十二条以及第七十三条第一项、第二项</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2"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为非法交易野生动物等违法行为提供交易服务的检查</w:t>
            </w:r>
          </w:p>
        </w:tc>
        <w:tc>
          <w:tcPr>
            <w:tcW w:w="1283"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《野生动物保护法》第三十二条、第五十一条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50</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广告行为检查</w:t>
            </w:r>
          </w:p>
        </w:tc>
        <w:tc>
          <w:tcPr>
            <w:tcW w:w="3568" w:type="dxa"/>
            <w:vAlign w:val="center"/>
          </w:tcPr>
          <w:p>
            <w:pPr>
              <w:kinsoku w:val="0"/>
              <w:overflowPunct w:val="0"/>
              <w:autoSpaceDE w:val="0"/>
              <w:autoSpaceDN w:val="0"/>
              <w:adjustRightInd w:val="0"/>
              <w:snapToGrid w:val="0"/>
              <w:spacing w:line="360" w:lineRule="exact"/>
              <w:rPr>
                <w:rFonts w:hint="eastAsia" w:ascii="仿宋_GB2312" w:hAnsi="仿宋" w:eastAsia="仿宋_GB2312"/>
                <w:color w:val="000000"/>
                <w:spacing w:val="-20"/>
                <w:kern w:val="0"/>
                <w:sz w:val="24"/>
                <w:szCs w:val="24"/>
                <w:lang w:eastAsia="zh-CN"/>
              </w:rPr>
            </w:pPr>
            <w:r>
              <w:rPr>
                <w:rFonts w:hint="eastAsia" w:ascii="仿宋_GB2312" w:hAnsi="仿宋" w:eastAsia="仿宋_GB2312" w:cs="仿宋_GB2312"/>
                <w:color w:val="000000"/>
                <w:spacing w:val="-20"/>
                <w:kern w:val="0"/>
                <w:sz w:val="24"/>
                <w:szCs w:val="24"/>
              </w:rPr>
              <w:t>广告发布情况</w:t>
            </w:r>
            <w:r>
              <w:rPr>
                <w:rFonts w:hint="eastAsia" w:ascii="仿宋_GB2312" w:hAnsi="仿宋" w:eastAsia="仿宋_GB2312" w:cs="仿宋_GB2312"/>
                <w:color w:val="000000"/>
                <w:spacing w:val="-20"/>
                <w:kern w:val="0"/>
                <w:sz w:val="24"/>
                <w:szCs w:val="24"/>
                <w:lang w:eastAsia="zh-CN"/>
              </w:rPr>
              <w:t>监督检查</w:t>
            </w:r>
          </w:p>
        </w:tc>
        <w:tc>
          <w:tcPr>
            <w:tcW w:w="1283"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企业、个体工商户及其它经营单位</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restart"/>
            <w:vAlign w:val="center"/>
          </w:tcPr>
          <w:p>
            <w:pPr>
              <w:kinsoku w:val="0"/>
              <w:overflowPunct w:val="0"/>
              <w:autoSpaceDE w:val="0"/>
              <w:autoSpaceDN w:val="0"/>
              <w:adjustRightInd w:val="0"/>
              <w:snapToGrid w:val="0"/>
              <w:spacing w:line="360" w:lineRule="exact"/>
              <w:rPr>
                <w:rFonts w:hint="eastAsia" w:ascii="仿宋_GB2312" w:hAnsi="仿宋" w:eastAsia="仿宋_GB2312"/>
                <w:color w:val="000000"/>
                <w:spacing w:val="-20"/>
                <w:kern w:val="0"/>
                <w:sz w:val="24"/>
                <w:szCs w:val="24"/>
                <w:lang w:eastAsia="zh-CN"/>
              </w:rPr>
            </w:pPr>
            <w:r>
              <w:rPr>
                <w:rFonts w:hint="eastAsia" w:ascii="仿宋_GB2312" w:hAnsi="仿宋" w:eastAsia="仿宋_GB2312" w:cs="仿宋_GB2312"/>
                <w:color w:val="000000"/>
                <w:spacing w:val="-20"/>
                <w:kern w:val="0"/>
                <w:sz w:val="24"/>
                <w:szCs w:val="24"/>
              </w:rPr>
              <w:t>书面检查、实地核查</w:t>
            </w:r>
            <w:r>
              <w:rPr>
                <w:rFonts w:hint="eastAsia" w:ascii="仿宋_GB2312" w:hAnsi="仿宋" w:eastAsia="仿宋_GB2312" w:cs="仿宋_GB2312"/>
                <w:color w:val="000000"/>
                <w:spacing w:val="-20"/>
                <w:kern w:val="0"/>
                <w:sz w:val="24"/>
                <w:szCs w:val="24"/>
                <w:lang w:eastAsia="zh-CN"/>
              </w:rPr>
              <w:t>、网络监测</w:t>
            </w: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《广告法》《房地产广告发布规定》《互联网广告管理暂行办法.《医疗广告管理办法》</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8"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lang w:eastAsia="zh-CN"/>
              </w:rPr>
              <w:t>医疗、</w:t>
            </w:r>
            <w:r>
              <w:rPr>
                <w:rFonts w:hint="eastAsia" w:ascii="仿宋_GB2312" w:hAnsi="仿宋" w:eastAsia="仿宋_GB2312" w:cs="仿宋_GB2312"/>
                <w:color w:val="000000"/>
                <w:spacing w:val="-20"/>
                <w:kern w:val="0"/>
                <w:sz w:val="24"/>
                <w:szCs w:val="24"/>
              </w:rPr>
              <w:t>药品、医疗器械、保健食品、特殊医学用途配方</w:t>
            </w:r>
            <w:r>
              <w:rPr>
                <w:rFonts w:hint="eastAsia" w:ascii="仿宋_GB2312" w:hAnsi="仿宋" w:eastAsia="仿宋_GB2312" w:cs="仿宋_GB2312"/>
                <w:color w:val="000000"/>
                <w:spacing w:val="-20"/>
                <w:kern w:val="0"/>
                <w:sz w:val="28"/>
                <w:szCs w:val="28"/>
              </w:rPr>
              <w:t>食品广告</w:t>
            </w:r>
            <w:r>
              <w:rPr>
                <w:rFonts w:hint="eastAsia" w:ascii="仿宋_GB2312" w:hAnsi="仿宋" w:eastAsia="仿宋_GB2312" w:cs="仿宋_GB2312"/>
                <w:color w:val="000000"/>
                <w:spacing w:val="-20"/>
                <w:kern w:val="0"/>
                <w:sz w:val="24"/>
                <w:szCs w:val="24"/>
              </w:rPr>
              <w:t>主发布相关广告的审查批准情况的检查</w:t>
            </w:r>
          </w:p>
        </w:tc>
        <w:tc>
          <w:tcPr>
            <w:tcW w:w="1283"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4407"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《广告法》第四十六条《食品安全法》第七十九条《药品管理法》第五十九条</w:t>
            </w:r>
          </w:p>
          <w:p>
            <w:pPr>
              <w:kinsoku w:val="0"/>
              <w:overflowPunct w:val="0"/>
              <w:autoSpaceDE w:val="0"/>
              <w:autoSpaceDN w:val="0"/>
              <w:adjustRightInd w:val="0"/>
              <w:snapToGrid w:val="0"/>
              <w:spacing w:line="360" w:lineRule="exact"/>
              <w:rPr>
                <w:rFonts w:hint="eastAsia" w:ascii="仿宋_GB2312" w:hAnsi="仿宋" w:eastAsia="仿宋_GB2312"/>
                <w:color w:val="000000"/>
                <w:spacing w:val="-20"/>
                <w:kern w:val="0"/>
                <w:sz w:val="24"/>
                <w:szCs w:val="24"/>
                <w:lang w:eastAsia="zh-CN"/>
              </w:rPr>
            </w:pPr>
            <w:r>
              <w:rPr>
                <w:rFonts w:hint="eastAsia" w:ascii="仿宋_GB2312" w:hAnsi="仿宋" w:eastAsia="仿宋_GB2312" w:cs="仿宋_GB2312"/>
                <w:color w:val="000000"/>
                <w:spacing w:val="-20"/>
                <w:kern w:val="0"/>
                <w:sz w:val="24"/>
                <w:szCs w:val="24"/>
              </w:rPr>
              <w:t>《医疗器械监督管理条例》第四十五条《医疗广告管理办法</w:t>
            </w:r>
            <w:r>
              <w:rPr>
                <w:rFonts w:hint="eastAsia" w:ascii="仿宋_GB2312" w:hAnsi="仿宋" w:eastAsia="仿宋_GB2312" w:cs="仿宋_GB2312"/>
                <w:color w:val="000000"/>
                <w:spacing w:val="-20"/>
                <w:kern w:val="0"/>
                <w:sz w:val="24"/>
                <w:szCs w:val="24"/>
                <w:lang w:eastAsia="zh-CN"/>
              </w:rPr>
              <w:t>》</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9"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广告经营者、广告发布者建立、健全广告业务的承接登记、审核、档案管理制度情况的检查</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企业及其它经营单位</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《广告法》第三十四条、第六十一条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6"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51</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产品质量监督抽查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生产领域产品质量监督抽查</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市场上或企业成品仓库内的待销产品</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重点</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抽样检测</w:t>
            </w: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《产品质量法》第十五条；《产品质量监督抽查管理办法》第二条、第六条、第十二条、第十七条；《食品安全法》第一百一十条</w:t>
            </w:r>
          </w:p>
        </w:tc>
        <w:tc>
          <w:tcPr>
            <w:tcW w:w="1224" w:type="dxa"/>
            <w:vMerge w:val="restart"/>
            <w:vAlign w:val="center"/>
          </w:tcPr>
          <w:p>
            <w:pPr>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市场</w:t>
            </w:r>
          </w:p>
          <w:p>
            <w:pPr>
              <w:jc w:val="center"/>
              <w:rPr>
                <w:rFonts w:ascii="宋体"/>
                <w:b/>
                <w:bCs/>
                <w:color w:val="000000"/>
                <w:sz w:val="24"/>
                <w:szCs w:val="24"/>
              </w:rPr>
            </w:pPr>
            <w:r>
              <w:rPr>
                <w:rFonts w:hint="eastAsia" w:ascii="仿宋_GB2312" w:hAnsi="仿宋" w:eastAsia="仿宋_GB2312" w:cs="仿宋_GB2312"/>
                <w:color w:val="000000"/>
                <w:spacing w:val="-20"/>
                <w:kern w:val="0"/>
                <w:sz w:val="24"/>
                <w:szCs w:val="24"/>
              </w:rPr>
              <w:t>监管分局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5"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食品相关产品质量安全监督检查</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食品相关产品获证企业</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书面检查、实地核查</w:t>
            </w: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《食品安全法》第一百一十条；《产品质量法》第十五条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6" w:hRule="atLeast"/>
        </w:trPr>
        <w:tc>
          <w:tcPr>
            <w:tcW w:w="702" w:type="dxa"/>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52</w:t>
            </w:r>
          </w:p>
        </w:tc>
        <w:tc>
          <w:tcPr>
            <w:tcW w:w="122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工业产品生产许可证产品生产企业检查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工业产品生产许可资格检查、获证企业条件检查</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企业、个体工商户</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实地核查</w:t>
            </w: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《工业产品生产许可证管理条例》第三十六条、三十八条、三十九条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4"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53</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食品生产监督检查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食品生产监督检查</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获证食品生产企业</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《食品安全法》第一百一十条；《食品生产经营日常监督检查管理办法》</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保健食品生产监督检查</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保健食品生产企业</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书面检查、实地核查</w:t>
            </w: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《食品安全法》第八十二条、第八十三条、第一百零九条、第一百一十条、第一百一十三条、第一百一十四条</w:t>
            </w:r>
            <w:r>
              <w:rPr>
                <w:rFonts w:ascii="仿宋_GB2312" w:hAnsi="仿宋" w:eastAsia="仿宋_GB2312"/>
                <w:color w:val="000000"/>
                <w:spacing w:val="-20"/>
                <w:kern w:val="0"/>
                <w:sz w:val="24"/>
                <w:szCs w:val="24"/>
              </w:rPr>
              <w:br w:type="page"/>
            </w:r>
            <w:r>
              <w:rPr>
                <w:rFonts w:hint="eastAsia" w:ascii="仿宋_GB2312" w:hAnsi="仿宋" w:eastAsia="仿宋_GB2312" w:cs="仿宋_GB2312"/>
                <w:color w:val="000000"/>
                <w:spacing w:val="-20"/>
                <w:kern w:val="0"/>
                <w:sz w:val="24"/>
                <w:szCs w:val="24"/>
              </w:rPr>
              <w:t>；《食品生产经营日常监督检查管理办法》</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1"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54</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食品销售监督检查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校园食品销售监督检查</w:t>
            </w:r>
          </w:p>
        </w:tc>
        <w:tc>
          <w:tcPr>
            <w:tcW w:w="1283"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校园及校园周边食品销售者</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重点</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实地核查</w:t>
            </w:r>
          </w:p>
        </w:tc>
        <w:tc>
          <w:tcPr>
            <w:tcW w:w="4407"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《食品安全法》第一百零九条、第一百一十条、第一百一十三条、第一百一十四条；《食品生产经营日常监督检查管理办法》；《乳品质量安全监督管理条例》</w:t>
            </w:r>
          </w:p>
        </w:tc>
        <w:tc>
          <w:tcPr>
            <w:tcW w:w="1224" w:type="dxa"/>
            <w:vMerge w:val="restart"/>
            <w:vAlign w:val="center"/>
          </w:tcPr>
          <w:p>
            <w:pPr>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市场</w:t>
            </w:r>
          </w:p>
          <w:p>
            <w:pPr>
              <w:jc w:val="center"/>
              <w:rPr>
                <w:rFonts w:ascii="宋体"/>
                <w:b/>
                <w:bCs/>
                <w:color w:val="000000"/>
                <w:sz w:val="24"/>
                <w:szCs w:val="24"/>
              </w:rPr>
            </w:pPr>
            <w:r>
              <w:rPr>
                <w:rFonts w:hint="eastAsia" w:ascii="仿宋_GB2312" w:hAnsi="仿宋" w:eastAsia="仿宋_GB2312" w:cs="仿宋_GB2312"/>
                <w:color w:val="000000"/>
                <w:spacing w:val="-20"/>
                <w:kern w:val="0"/>
                <w:sz w:val="24"/>
                <w:szCs w:val="24"/>
              </w:rPr>
              <w:t>监管分局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高风险食品销售监督检查</w:t>
            </w:r>
          </w:p>
        </w:tc>
        <w:tc>
          <w:tcPr>
            <w:tcW w:w="1283"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风险等级为</w:t>
            </w:r>
            <w:r>
              <w:rPr>
                <w:rFonts w:ascii="仿宋_GB2312" w:hAnsi="仿宋" w:eastAsia="仿宋_GB2312" w:cs="仿宋_GB2312"/>
                <w:color w:val="000000"/>
                <w:spacing w:val="-32"/>
                <w:kern w:val="0"/>
                <w:sz w:val="24"/>
                <w:szCs w:val="24"/>
              </w:rPr>
              <w:t>B</w:t>
            </w:r>
            <w:r>
              <w:rPr>
                <w:rFonts w:hint="eastAsia" w:ascii="仿宋_GB2312" w:hAnsi="仿宋" w:eastAsia="仿宋_GB2312" w:cs="仿宋_GB2312"/>
                <w:color w:val="000000"/>
                <w:spacing w:val="-32"/>
                <w:kern w:val="0"/>
                <w:sz w:val="24"/>
                <w:szCs w:val="24"/>
              </w:rPr>
              <w:t>、</w:t>
            </w:r>
            <w:r>
              <w:rPr>
                <w:rFonts w:ascii="仿宋_GB2312" w:hAnsi="仿宋" w:eastAsia="仿宋_GB2312" w:cs="仿宋_GB2312"/>
                <w:color w:val="000000"/>
                <w:spacing w:val="-32"/>
                <w:kern w:val="0"/>
                <w:sz w:val="24"/>
                <w:szCs w:val="24"/>
              </w:rPr>
              <w:t>C</w:t>
            </w:r>
            <w:r>
              <w:rPr>
                <w:rFonts w:hint="eastAsia" w:ascii="仿宋_GB2312" w:hAnsi="仿宋" w:eastAsia="仿宋_GB2312" w:cs="仿宋_GB2312"/>
                <w:color w:val="000000"/>
                <w:spacing w:val="-32"/>
                <w:kern w:val="0"/>
                <w:sz w:val="24"/>
                <w:szCs w:val="24"/>
              </w:rPr>
              <w:t>、</w:t>
            </w:r>
            <w:r>
              <w:rPr>
                <w:rFonts w:ascii="仿宋_GB2312" w:hAnsi="仿宋" w:eastAsia="仿宋_GB2312" w:cs="仿宋_GB2312"/>
                <w:color w:val="000000"/>
                <w:spacing w:val="-32"/>
                <w:kern w:val="0"/>
                <w:sz w:val="24"/>
                <w:szCs w:val="24"/>
              </w:rPr>
              <w:t>D</w:t>
            </w:r>
            <w:r>
              <w:rPr>
                <w:rFonts w:hint="eastAsia" w:ascii="仿宋_GB2312" w:hAnsi="仿宋" w:eastAsia="仿宋_GB2312" w:cs="仿宋_GB2312"/>
                <w:color w:val="000000"/>
                <w:spacing w:val="-32"/>
                <w:kern w:val="0"/>
                <w:sz w:val="24"/>
                <w:szCs w:val="24"/>
              </w:rPr>
              <w:t>级食品销售者</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4"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一般风险食品销售监督检查</w:t>
            </w:r>
          </w:p>
        </w:tc>
        <w:tc>
          <w:tcPr>
            <w:tcW w:w="1283"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风险等级为</w:t>
            </w:r>
            <w:r>
              <w:rPr>
                <w:rFonts w:ascii="仿宋_GB2312" w:hAnsi="仿宋" w:eastAsia="仿宋_GB2312" w:cs="仿宋_GB2312"/>
                <w:color w:val="000000"/>
                <w:spacing w:val="-32"/>
                <w:kern w:val="0"/>
                <w:sz w:val="24"/>
                <w:szCs w:val="24"/>
              </w:rPr>
              <w:t>A</w:t>
            </w:r>
            <w:r>
              <w:rPr>
                <w:rFonts w:hint="eastAsia" w:ascii="仿宋_GB2312" w:hAnsi="仿宋" w:eastAsia="仿宋_GB2312" w:cs="仿宋_GB2312"/>
                <w:color w:val="000000"/>
                <w:spacing w:val="-32"/>
                <w:kern w:val="0"/>
                <w:sz w:val="24"/>
                <w:szCs w:val="24"/>
              </w:rPr>
              <w:t>级的食品销售者</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书面检查、实地核查、网络监测</w:t>
            </w: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7"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网络食品销售监督检查</w:t>
            </w:r>
          </w:p>
        </w:tc>
        <w:tc>
          <w:tcPr>
            <w:tcW w:w="1283"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网络食品交易入网食品销售者</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1"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55</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食用农产品市场销售质量安全检查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食用农产品集中交易市场监督检查</w:t>
            </w:r>
          </w:p>
        </w:tc>
        <w:tc>
          <w:tcPr>
            <w:tcW w:w="1283"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食用农产品集中交易市场（含批发市场和农贸市场）</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重点</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实地核查、抽样检测</w:t>
            </w:r>
          </w:p>
        </w:tc>
        <w:tc>
          <w:tcPr>
            <w:tcW w:w="4407"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《食品安全法》第一百一十条；《食用农产品市场销售质量安全监督管理办法》</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3"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食用农产品销售企业（者）监督检查</w:t>
            </w:r>
          </w:p>
        </w:tc>
        <w:tc>
          <w:tcPr>
            <w:tcW w:w="1283"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食用农产品销售企业（含批发企业和零售企业）、其他销售者</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56</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餐饮服务监督检查</w:t>
            </w:r>
          </w:p>
        </w:tc>
        <w:tc>
          <w:tcPr>
            <w:tcW w:w="356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食品经营许可情况的检查</w:t>
            </w: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餐饮服务经营者</w:t>
            </w:r>
          </w:p>
        </w:tc>
        <w:tc>
          <w:tcPr>
            <w:tcW w:w="1283" w:type="dxa"/>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restart"/>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书面检查、实地核查</w:t>
            </w:r>
          </w:p>
        </w:tc>
        <w:tc>
          <w:tcPr>
            <w:tcW w:w="4407"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《食品安全法》第一百一十条</w:t>
            </w:r>
            <w:r>
              <w:rPr>
                <w:rFonts w:ascii="仿宋_GB2312" w:hAnsi="仿宋" w:eastAsia="仿宋_GB2312"/>
                <w:color w:val="000000"/>
                <w:spacing w:val="-20"/>
                <w:kern w:val="0"/>
                <w:sz w:val="24"/>
                <w:szCs w:val="24"/>
              </w:rPr>
              <w:br w:type="page"/>
            </w:r>
            <w:r>
              <w:rPr>
                <w:rFonts w:hint="eastAsia" w:ascii="仿宋_GB2312" w:hAnsi="仿宋" w:eastAsia="仿宋_GB2312" w:cs="仿宋_GB2312"/>
                <w:color w:val="000000"/>
                <w:spacing w:val="-20"/>
                <w:kern w:val="0"/>
                <w:sz w:val="24"/>
                <w:szCs w:val="24"/>
              </w:rPr>
              <w:t>；《食品生产经营日常监督检查管理办法》</w:t>
            </w:r>
          </w:p>
        </w:tc>
        <w:tc>
          <w:tcPr>
            <w:tcW w:w="1224" w:type="dxa"/>
            <w:vMerge w:val="restart"/>
            <w:vAlign w:val="center"/>
          </w:tcPr>
          <w:p>
            <w:pPr>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市场</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监管分局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学校、托幼机构、养老机构等食堂</w:t>
            </w:r>
          </w:p>
        </w:tc>
        <w:tc>
          <w:tcPr>
            <w:tcW w:w="1283" w:type="dxa"/>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重点</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原料控制（含食品添加剂）情况的检查</w:t>
            </w: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餐饮服务经营者</w:t>
            </w:r>
          </w:p>
        </w:tc>
        <w:tc>
          <w:tcPr>
            <w:tcW w:w="1283" w:type="dxa"/>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学校、托幼机构、养老机构等食堂</w:t>
            </w:r>
          </w:p>
        </w:tc>
        <w:tc>
          <w:tcPr>
            <w:tcW w:w="1283" w:type="dxa"/>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重点</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加工制作过程的检查</w:t>
            </w: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餐饮服务经营者</w:t>
            </w:r>
          </w:p>
        </w:tc>
        <w:tc>
          <w:tcPr>
            <w:tcW w:w="1283" w:type="dxa"/>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学校、托幼机构、养老机构等食堂</w:t>
            </w:r>
          </w:p>
        </w:tc>
        <w:tc>
          <w:tcPr>
            <w:tcW w:w="1283" w:type="dxa"/>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重点</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供餐、用餐与配送情况的检查</w:t>
            </w: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餐饮服务经营者</w:t>
            </w:r>
          </w:p>
        </w:tc>
        <w:tc>
          <w:tcPr>
            <w:tcW w:w="1283" w:type="dxa"/>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学校、托幼机构、养老机构等食堂</w:t>
            </w:r>
          </w:p>
        </w:tc>
        <w:tc>
          <w:tcPr>
            <w:tcW w:w="1283" w:type="dxa"/>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重点</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餐饮具清洗消毒情况的检查</w:t>
            </w: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餐饮服务经营者</w:t>
            </w:r>
          </w:p>
        </w:tc>
        <w:tc>
          <w:tcPr>
            <w:tcW w:w="1283" w:type="dxa"/>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学校、托幼机构、养老机构等食堂</w:t>
            </w:r>
          </w:p>
        </w:tc>
        <w:tc>
          <w:tcPr>
            <w:tcW w:w="1283" w:type="dxa"/>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重点</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57</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餐饮服务监督检查</w:t>
            </w:r>
          </w:p>
        </w:tc>
        <w:tc>
          <w:tcPr>
            <w:tcW w:w="356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场所和设施清洁维护情况的检查</w:t>
            </w: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餐饮服务经营者</w:t>
            </w:r>
          </w:p>
        </w:tc>
        <w:tc>
          <w:tcPr>
            <w:tcW w:w="1283" w:type="dxa"/>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restart"/>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书面检查、实地核查</w:t>
            </w:r>
          </w:p>
        </w:tc>
        <w:tc>
          <w:tcPr>
            <w:tcW w:w="4407"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《食品安全法》第一百一十条</w:t>
            </w:r>
            <w:r>
              <w:rPr>
                <w:rFonts w:ascii="仿宋_GB2312" w:hAnsi="仿宋" w:eastAsia="仿宋_GB2312"/>
                <w:color w:val="000000"/>
                <w:spacing w:val="-20"/>
                <w:kern w:val="0"/>
                <w:sz w:val="24"/>
                <w:szCs w:val="24"/>
              </w:rPr>
              <w:br w:type="page"/>
            </w:r>
            <w:r>
              <w:rPr>
                <w:rFonts w:hint="eastAsia" w:ascii="仿宋_GB2312" w:hAnsi="仿宋" w:eastAsia="仿宋_GB2312" w:cs="仿宋_GB2312"/>
                <w:color w:val="000000"/>
                <w:spacing w:val="-20"/>
                <w:kern w:val="0"/>
                <w:sz w:val="24"/>
                <w:szCs w:val="24"/>
              </w:rPr>
              <w:t>；《食品生产经营日常监督检查管理办法》</w:t>
            </w:r>
          </w:p>
        </w:tc>
        <w:tc>
          <w:tcPr>
            <w:tcW w:w="1224" w:type="dxa"/>
            <w:vMerge w:val="restart"/>
            <w:vAlign w:val="center"/>
          </w:tcPr>
          <w:p>
            <w:pPr>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市场</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监管分局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学校、托幼机构、养老机构等食堂</w:t>
            </w:r>
          </w:p>
        </w:tc>
        <w:tc>
          <w:tcPr>
            <w:tcW w:w="1283" w:type="dxa"/>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重点</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食品安全管理情况的检查</w:t>
            </w: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餐饮服务经营者</w:t>
            </w:r>
          </w:p>
        </w:tc>
        <w:tc>
          <w:tcPr>
            <w:tcW w:w="1283" w:type="dxa"/>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9"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学校、托幼机构、养老机构等食堂</w:t>
            </w:r>
          </w:p>
        </w:tc>
        <w:tc>
          <w:tcPr>
            <w:tcW w:w="1283" w:type="dxa"/>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重点</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人员管理情况的检查</w:t>
            </w: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餐饮服务经营者</w:t>
            </w:r>
          </w:p>
        </w:tc>
        <w:tc>
          <w:tcPr>
            <w:tcW w:w="1283" w:type="dxa"/>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4"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学校、托幼机构、养老机构等食堂</w:t>
            </w:r>
          </w:p>
        </w:tc>
        <w:tc>
          <w:tcPr>
            <w:tcW w:w="1283" w:type="dxa"/>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重点</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continue"/>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7"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网络餐饮服务情况的检查</w:t>
            </w:r>
          </w:p>
        </w:tc>
        <w:tc>
          <w:tcPr>
            <w:tcW w:w="1283" w:type="dxa"/>
            <w:vAlign w:val="center"/>
          </w:tcPr>
          <w:p>
            <w:pPr>
              <w:kinsoku w:val="0"/>
              <w:overflowPunct w:val="0"/>
              <w:autoSpaceDE w:val="0"/>
              <w:autoSpaceDN w:val="0"/>
              <w:adjustRightInd w:val="0"/>
              <w:snapToGrid w:val="0"/>
              <w:spacing w:line="280" w:lineRule="exact"/>
              <w:rPr>
                <w:rFonts w:ascii="仿宋_GB2312" w:hAnsi="仿宋" w:eastAsia="仿宋_GB2312"/>
                <w:color w:val="000000"/>
                <w:spacing w:val="-40"/>
                <w:kern w:val="0"/>
                <w:sz w:val="24"/>
                <w:szCs w:val="24"/>
              </w:rPr>
            </w:pPr>
            <w:r>
              <w:rPr>
                <w:rFonts w:hint="eastAsia" w:ascii="仿宋_GB2312" w:hAnsi="仿宋" w:eastAsia="仿宋_GB2312" w:cs="仿宋_GB2312"/>
                <w:color w:val="000000"/>
                <w:spacing w:val="-40"/>
                <w:kern w:val="0"/>
                <w:sz w:val="24"/>
                <w:szCs w:val="24"/>
              </w:rPr>
              <w:t>入网餐饮服务提供者、网络餐饮服务第三方平台</w:t>
            </w:r>
          </w:p>
        </w:tc>
        <w:tc>
          <w:tcPr>
            <w:tcW w:w="1283" w:type="dxa"/>
            <w:vAlign w:val="center"/>
          </w:tcPr>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0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书面检查、实地核查、网络监测</w:t>
            </w:r>
          </w:p>
        </w:tc>
        <w:tc>
          <w:tcPr>
            <w:tcW w:w="440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1224"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9" w:hRule="atLeast"/>
        </w:trPr>
        <w:tc>
          <w:tcPr>
            <w:tcW w:w="702" w:type="dxa"/>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58</w:t>
            </w:r>
          </w:p>
        </w:tc>
        <w:tc>
          <w:tcPr>
            <w:tcW w:w="122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食品安全监督抽检</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食品安全监督抽检</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市场在售食品</w:t>
            </w:r>
          </w:p>
        </w:tc>
        <w:tc>
          <w:tcPr>
            <w:tcW w:w="1283" w:type="dxa"/>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重点</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抽样检验</w:t>
            </w: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《食品安全法》第八十七条；《食品安全抽样检验管理办法》</w:t>
            </w:r>
          </w:p>
        </w:tc>
        <w:tc>
          <w:tcPr>
            <w:tcW w:w="1224"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市场</w:t>
            </w:r>
          </w:p>
          <w:p>
            <w:pPr>
              <w:jc w:val="center"/>
              <w:rPr>
                <w:rFonts w:ascii="宋体"/>
                <w:b/>
                <w:bCs/>
                <w:color w:val="000000"/>
                <w:sz w:val="24"/>
                <w:szCs w:val="24"/>
              </w:rPr>
            </w:pPr>
            <w:r>
              <w:rPr>
                <w:rFonts w:hint="eastAsia" w:ascii="仿宋_GB2312" w:hAnsi="仿宋" w:eastAsia="仿宋_GB2312" w:cs="仿宋_GB2312"/>
                <w:color w:val="000000"/>
                <w:spacing w:val="-20"/>
                <w:kern w:val="0"/>
                <w:sz w:val="24"/>
                <w:szCs w:val="24"/>
              </w:rPr>
              <w:t>监管分局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59</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特种设备监督检查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对特种设备使用单位的监督检查</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特种设备使用单位</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重点</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书面检查、实地核查</w:t>
            </w: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《中华人民共和国特种设备安全法》第五十七条；《特种设备安全监察条例》第五十条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对特种设备生产单位的监督检查</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特种设备生产单位</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《中华人民共和国特种设备安全法》第五十七条；《特种设备安全监察条例》第五十条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对特种设备检验、检测机构监督检查</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特种设备检验、检测机构</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《中华人民共和国</w:t>
            </w:r>
            <w:bookmarkStart w:id="0" w:name="_GoBack"/>
            <w:bookmarkEnd w:id="0"/>
            <w:r>
              <w:rPr>
                <w:rFonts w:hint="eastAsia" w:ascii="仿宋_GB2312" w:hAnsi="仿宋" w:eastAsia="仿宋_GB2312" w:cs="仿宋_GB2312"/>
                <w:color w:val="000000"/>
                <w:spacing w:val="-20"/>
                <w:kern w:val="0"/>
                <w:sz w:val="24"/>
                <w:szCs w:val="24"/>
              </w:rPr>
              <w:t>特种设备安全法》第五十七条；《特种设备安全监察条例》第五十条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restart"/>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60</w:t>
            </w:r>
          </w:p>
        </w:tc>
        <w:tc>
          <w:tcPr>
            <w:tcW w:w="1228" w:type="dxa"/>
            <w:vMerge w:val="restart"/>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计量监督检查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法定计量检定机构专项监督检查</w:t>
            </w:r>
          </w:p>
        </w:tc>
        <w:tc>
          <w:tcPr>
            <w:tcW w:w="1283"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法定计量检定机构</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书面检查、实地核查</w:t>
            </w:r>
          </w:p>
        </w:tc>
        <w:tc>
          <w:tcPr>
            <w:tcW w:w="4407" w:type="dxa"/>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《计量法》第十八条</w:t>
            </w:r>
            <w:r>
              <w:rPr>
                <w:rFonts w:ascii="仿宋_GB2312" w:hAnsi="仿宋" w:eastAsia="仿宋_GB2312"/>
                <w:color w:val="000000"/>
                <w:spacing w:val="-20"/>
                <w:kern w:val="0"/>
                <w:sz w:val="24"/>
                <w:szCs w:val="24"/>
              </w:rPr>
              <w:br w:type="page"/>
            </w:r>
            <w:r>
              <w:rPr>
                <w:rFonts w:hint="eastAsia" w:ascii="仿宋_GB2312" w:hAnsi="仿宋" w:eastAsia="仿宋_GB2312" w:cs="仿宋_GB2312"/>
                <w:color w:val="000000"/>
                <w:spacing w:val="-20"/>
                <w:kern w:val="0"/>
                <w:sz w:val="24"/>
                <w:szCs w:val="24"/>
              </w:rPr>
              <w:t>《计量法实施细则》第二十八条</w:t>
            </w:r>
            <w:r>
              <w:rPr>
                <w:rFonts w:ascii="仿宋_GB2312" w:hAnsi="仿宋" w:eastAsia="仿宋_GB2312"/>
                <w:color w:val="000000"/>
                <w:spacing w:val="-20"/>
                <w:kern w:val="0"/>
                <w:sz w:val="24"/>
                <w:szCs w:val="24"/>
              </w:rPr>
              <w:br w:type="page"/>
            </w:r>
            <w:r>
              <w:rPr>
                <w:rFonts w:hint="eastAsia" w:ascii="仿宋_GB2312" w:hAnsi="仿宋" w:eastAsia="仿宋_GB2312" w:cs="仿宋_GB2312"/>
                <w:color w:val="000000"/>
                <w:spacing w:val="-20"/>
                <w:kern w:val="0"/>
                <w:sz w:val="24"/>
                <w:szCs w:val="24"/>
              </w:rPr>
              <w:t>《法定计量检定机构监督管理办法》第十五、十六条</w:t>
            </w:r>
            <w:r>
              <w:rPr>
                <w:rFonts w:ascii="仿宋_GB2312" w:hAnsi="仿宋" w:eastAsia="仿宋_GB2312"/>
                <w:color w:val="000000"/>
                <w:spacing w:val="-20"/>
                <w:kern w:val="0"/>
                <w:sz w:val="24"/>
                <w:szCs w:val="24"/>
              </w:rPr>
              <w:br w:type="page"/>
            </w:r>
            <w:r>
              <w:rPr>
                <w:rFonts w:hint="eastAsia" w:ascii="仿宋_GB2312" w:hAnsi="仿宋" w:eastAsia="仿宋_GB2312" w:cs="仿宋_GB2312"/>
                <w:color w:val="000000"/>
                <w:spacing w:val="-20"/>
                <w:kern w:val="0"/>
                <w:sz w:val="24"/>
                <w:szCs w:val="24"/>
              </w:rPr>
              <w:t>《专业计量站管理办法》第十四、十八条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6"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定量包装商品净含量国家计量监督专项抽查</w:t>
            </w:r>
          </w:p>
        </w:tc>
        <w:tc>
          <w:tcPr>
            <w:tcW w:w="1283"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企业、个体工商户及其他经营者</w:t>
            </w:r>
          </w:p>
        </w:tc>
        <w:tc>
          <w:tcPr>
            <w:tcW w:w="1283"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6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抽样检测</w:t>
            </w: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《计量法》第十八条；《定量包装商品计量监督管理办法》</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atLeast"/>
        </w:trPr>
        <w:tc>
          <w:tcPr>
            <w:tcW w:w="702" w:type="dxa"/>
            <w:vMerge w:val="continue"/>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p>
        </w:tc>
        <w:tc>
          <w:tcPr>
            <w:tcW w:w="1228" w:type="dxa"/>
            <w:vMerge w:val="continue"/>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型式批准监督检查</w:t>
            </w:r>
          </w:p>
        </w:tc>
        <w:tc>
          <w:tcPr>
            <w:tcW w:w="1283" w:type="dxa"/>
            <w:vAlign w:val="center"/>
          </w:tcPr>
          <w:p>
            <w:pPr>
              <w:kinsoku w:val="0"/>
              <w:overflowPunct w:val="0"/>
              <w:autoSpaceDE w:val="0"/>
              <w:autoSpaceDN w:val="0"/>
              <w:adjustRightInd w:val="0"/>
              <w:snapToGrid w:val="0"/>
              <w:spacing w:line="320" w:lineRule="exact"/>
              <w:rPr>
                <w:rFonts w:ascii="仿宋_GB2312" w:hAnsi="仿宋" w:eastAsia="仿宋_GB2312"/>
                <w:color w:val="000000"/>
                <w:spacing w:val="-32"/>
                <w:kern w:val="0"/>
                <w:sz w:val="24"/>
                <w:szCs w:val="24"/>
              </w:rPr>
            </w:pPr>
            <w:r>
              <w:rPr>
                <w:rFonts w:hint="eastAsia" w:ascii="仿宋_GB2312" w:hAnsi="仿宋" w:eastAsia="仿宋_GB2312" w:cs="仿宋_GB2312"/>
                <w:color w:val="000000"/>
                <w:spacing w:val="-32"/>
                <w:kern w:val="0"/>
                <w:sz w:val="24"/>
                <w:szCs w:val="24"/>
              </w:rPr>
              <w:t>企业、事业单位、个体工商户及其他经营者</w:t>
            </w:r>
          </w:p>
        </w:tc>
        <w:tc>
          <w:tcPr>
            <w:tcW w:w="1283" w:type="dxa"/>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重点</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书面检查、实地核查、</w:t>
            </w:r>
          </w:p>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抽样检测</w:t>
            </w: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《计量法》第十八条；《计量法实施细则》第十八、二十条；《计量器具新产品管理办法》第十八条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702"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序</w:t>
            </w:r>
          </w:p>
          <w:p>
            <w:pPr>
              <w:jc w:val="center"/>
              <w:rPr>
                <w:rFonts w:ascii="宋体"/>
                <w:b/>
                <w:bCs/>
                <w:color w:val="000000"/>
                <w:sz w:val="24"/>
                <w:szCs w:val="24"/>
              </w:rPr>
            </w:pPr>
            <w:r>
              <w:rPr>
                <w:rFonts w:hint="eastAsia" w:ascii="宋体" w:hAnsi="宋体" w:cs="宋体"/>
                <w:b/>
                <w:bCs/>
                <w:color w:val="000000"/>
                <w:sz w:val="24"/>
                <w:szCs w:val="24"/>
              </w:rPr>
              <w:t>号</w:t>
            </w:r>
          </w:p>
        </w:tc>
        <w:tc>
          <w:tcPr>
            <w:tcW w:w="4796" w:type="dxa"/>
            <w:gridSpan w:val="2"/>
            <w:vAlign w:val="center"/>
          </w:tcPr>
          <w:p>
            <w:pPr>
              <w:jc w:val="center"/>
              <w:rPr>
                <w:rFonts w:ascii="宋体"/>
                <w:b/>
                <w:bCs/>
                <w:color w:val="000000"/>
                <w:sz w:val="24"/>
                <w:szCs w:val="24"/>
              </w:rPr>
            </w:pPr>
            <w:r>
              <w:rPr>
                <w:rFonts w:hint="eastAsia" w:ascii="宋体" w:hAnsi="宋体" w:cs="宋体"/>
                <w:b/>
                <w:bCs/>
                <w:color w:val="000000"/>
                <w:sz w:val="24"/>
                <w:szCs w:val="24"/>
              </w:rPr>
              <w:t>抽查项目</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检查对象</w:t>
            </w:r>
          </w:p>
        </w:tc>
        <w:tc>
          <w:tcPr>
            <w:tcW w:w="1283"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事项类别</w:t>
            </w:r>
          </w:p>
        </w:tc>
        <w:tc>
          <w:tcPr>
            <w:tcW w:w="126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检查方式</w:t>
            </w:r>
          </w:p>
        </w:tc>
        <w:tc>
          <w:tcPr>
            <w:tcW w:w="4407"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检查依据</w:t>
            </w:r>
          </w:p>
        </w:tc>
        <w:tc>
          <w:tcPr>
            <w:tcW w:w="1224" w:type="dxa"/>
            <w:vMerge w:val="restart"/>
            <w:vAlign w:val="center"/>
          </w:tcPr>
          <w:p>
            <w:pPr>
              <w:jc w:val="center"/>
              <w:rPr>
                <w:rFonts w:ascii="宋体"/>
                <w:b/>
                <w:bCs/>
                <w:color w:val="000000"/>
                <w:sz w:val="24"/>
                <w:szCs w:val="24"/>
              </w:rPr>
            </w:pPr>
            <w:r>
              <w:rPr>
                <w:rFonts w:hint="eastAsia" w:ascii="宋体" w:hAnsi="宋体" w:cs="宋体"/>
                <w:b/>
                <w:bCs/>
                <w:color w:val="000000"/>
                <w:sz w:val="24"/>
                <w:szCs w:val="24"/>
              </w:rPr>
              <w:t>检查主体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Merge w:val="continue"/>
            <w:vAlign w:val="center"/>
          </w:tcPr>
          <w:p>
            <w:pPr>
              <w:jc w:val="center"/>
              <w:rPr>
                <w:rFonts w:ascii="宋体"/>
                <w:b/>
                <w:bCs/>
                <w:color w:val="000000"/>
                <w:sz w:val="24"/>
                <w:szCs w:val="24"/>
              </w:rPr>
            </w:pPr>
          </w:p>
        </w:tc>
        <w:tc>
          <w:tcPr>
            <w:tcW w:w="1228" w:type="dxa"/>
            <w:vAlign w:val="center"/>
          </w:tcPr>
          <w:p>
            <w:pPr>
              <w:jc w:val="center"/>
              <w:rPr>
                <w:rFonts w:ascii="宋体"/>
                <w:b/>
                <w:bCs/>
                <w:color w:val="000000"/>
                <w:sz w:val="24"/>
                <w:szCs w:val="24"/>
              </w:rPr>
            </w:pPr>
            <w:r>
              <w:rPr>
                <w:rFonts w:hint="eastAsia" w:ascii="宋体" w:hAnsi="宋体" w:cs="宋体"/>
                <w:b/>
                <w:bCs/>
                <w:color w:val="000000"/>
                <w:sz w:val="24"/>
                <w:szCs w:val="24"/>
              </w:rPr>
              <w:t>抽查类别</w:t>
            </w:r>
          </w:p>
        </w:tc>
        <w:tc>
          <w:tcPr>
            <w:tcW w:w="3568" w:type="dxa"/>
            <w:vAlign w:val="center"/>
          </w:tcPr>
          <w:p>
            <w:pPr>
              <w:jc w:val="center"/>
              <w:rPr>
                <w:rFonts w:ascii="宋体"/>
                <w:b/>
                <w:bCs/>
                <w:color w:val="000000"/>
                <w:sz w:val="24"/>
                <w:szCs w:val="24"/>
              </w:rPr>
            </w:pPr>
            <w:r>
              <w:rPr>
                <w:rFonts w:hint="eastAsia" w:ascii="宋体" w:hAnsi="宋体" w:cs="宋体"/>
                <w:b/>
                <w:bCs/>
                <w:color w:val="000000"/>
                <w:sz w:val="24"/>
                <w:szCs w:val="24"/>
              </w:rPr>
              <w:t>抽查事项</w:t>
            </w:r>
          </w:p>
        </w:tc>
        <w:tc>
          <w:tcPr>
            <w:tcW w:w="1283" w:type="dxa"/>
            <w:vMerge w:val="continue"/>
            <w:vAlign w:val="center"/>
          </w:tcPr>
          <w:p>
            <w:pPr>
              <w:jc w:val="center"/>
              <w:rPr>
                <w:rFonts w:ascii="宋体"/>
                <w:b/>
                <w:bCs/>
                <w:color w:val="000000"/>
                <w:sz w:val="24"/>
                <w:szCs w:val="24"/>
              </w:rPr>
            </w:pPr>
          </w:p>
        </w:tc>
        <w:tc>
          <w:tcPr>
            <w:tcW w:w="1283" w:type="dxa"/>
            <w:vMerge w:val="continue"/>
            <w:vAlign w:val="center"/>
          </w:tcPr>
          <w:p>
            <w:pPr>
              <w:jc w:val="center"/>
              <w:rPr>
                <w:rFonts w:ascii="宋体"/>
                <w:b/>
                <w:bCs/>
                <w:color w:val="000000"/>
                <w:sz w:val="24"/>
                <w:szCs w:val="24"/>
              </w:rPr>
            </w:pPr>
          </w:p>
        </w:tc>
        <w:tc>
          <w:tcPr>
            <w:tcW w:w="1267" w:type="dxa"/>
            <w:vMerge w:val="continue"/>
            <w:vAlign w:val="center"/>
          </w:tcPr>
          <w:p>
            <w:pPr>
              <w:jc w:val="center"/>
              <w:rPr>
                <w:rFonts w:ascii="宋体"/>
                <w:b/>
                <w:bCs/>
                <w:color w:val="000000"/>
                <w:sz w:val="24"/>
                <w:szCs w:val="24"/>
              </w:rPr>
            </w:pPr>
          </w:p>
        </w:tc>
        <w:tc>
          <w:tcPr>
            <w:tcW w:w="4407" w:type="dxa"/>
            <w:vMerge w:val="continue"/>
            <w:vAlign w:val="center"/>
          </w:tcPr>
          <w:p>
            <w:pPr>
              <w:jc w:val="center"/>
              <w:rPr>
                <w:rFonts w:ascii="宋体"/>
                <w:b/>
                <w:bCs/>
                <w:color w:val="000000"/>
                <w:sz w:val="24"/>
                <w:szCs w:val="24"/>
              </w:rPr>
            </w:pP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02" w:type="dxa"/>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61</w:t>
            </w:r>
          </w:p>
        </w:tc>
        <w:tc>
          <w:tcPr>
            <w:tcW w:w="122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市场类标准监督检查</w:t>
            </w:r>
          </w:p>
        </w:tc>
        <w:tc>
          <w:tcPr>
            <w:tcW w:w="3568"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企业标准自我声明监督检查</w:t>
            </w:r>
          </w:p>
        </w:tc>
        <w:tc>
          <w:tcPr>
            <w:tcW w:w="1283" w:type="dxa"/>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企业</w:t>
            </w:r>
          </w:p>
        </w:tc>
        <w:tc>
          <w:tcPr>
            <w:tcW w:w="1283"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Align w:val="center"/>
          </w:tcPr>
          <w:p>
            <w:pPr>
              <w:kinsoku w:val="0"/>
              <w:overflowPunct w:val="0"/>
              <w:autoSpaceDE w:val="0"/>
              <w:autoSpaceDN w:val="0"/>
              <w:adjustRightInd w:val="0"/>
              <w:snapToGrid w:val="0"/>
              <w:spacing w:line="30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书面检查、网络监测</w:t>
            </w:r>
          </w:p>
        </w:tc>
        <w:tc>
          <w:tcPr>
            <w:tcW w:w="4407" w:type="dxa"/>
            <w:vAlign w:val="center"/>
          </w:tcPr>
          <w:p>
            <w:pPr>
              <w:kinsoku w:val="0"/>
              <w:overflowPunct w:val="0"/>
              <w:autoSpaceDE w:val="0"/>
              <w:autoSpaceDN w:val="0"/>
              <w:adjustRightInd w:val="0"/>
              <w:snapToGrid w:val="0"/>
              <w:spacing w:line="360" w:lineRule="exact"/>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《标准化法》第二十七条、第三十八条、第三十九条、第四十二条</w:t>
            </w:r>
          </w:p>
        </w:tc>
        <w:tc>
          <w:tcPr>
            <w:tcW w:w="1224" w:type="dxa"/>
            <w:vMerge w:val="restart"/>
            <w:vAlign w:val="center"/>
          </w:tcPr>
          <w:p>
            <w:pPr>
              <w:kinsoku w:val="0"/>
              <w:overflowPunct w:val="0"/>
              <w:autoSpaceDE w:val="0"/>
              <w:autoSpaceDN w:val="0"/>
              <w:adjustRightInd w:val="0"/>
              <w:snapToGrid w:val="0"/>
              <w:spacing w:line="360" w:lineRule="exact"/>
              <w:jc w:val="center"/>
              <w:rPr>
                <w:rFonts w:ascii="仿宋_GB2312" w:hAnsi="仿宋" w:eastAsia="仿宋_GB2312"/>
                <w:color w:val="000000"/>
                <w:spacing w:val="-20"/>
                <w:kern w:val="0"/>
                <w:sz w:val="24"/>
                <w:szCs w:val="24"/>
              </w:rPr>
            </w:pPr>
            <w:r>
              <w:rPr>
                <w:rFonts w:hint="eastAsia" w:ascii="仿宋_GB2312" w:hAnsi="仿宋" w:eastAsia="仿宋_GB2312" w:cs="仿宋_GB2312"/>
                <w:color w:val="000000"/>
                <w:spacing w:val="-20"/>
                <w:kern w:val="0"/>
                <w:sz w:val="24"/>
                <w:szCs w:val="24"/>
              </w:rPr>
              <w:t>市场</w:t>
            </w:r>
          </w:p>
          <w:p>
            <w:pPr>
              <w:jc w:val="center"/>
              <w:rPr>
                <w:rFonts w:ascii="宋体"/>
                <w:b/>
                <w:bCs/>
                <w:color w:val="000000"/>
                <w:sz w:val="24"/>
                <w:szCs w:val="24"/>
              </w:rPr>
            </w:pPr>
            <w:r>
              <w:rPr>
                <w:rFonts w:hint="eastAsia" w:ascii="仿宋_GB2312" w:hAnsi="仿宋" w:eastAsia="仿宋_GB2312" w:cs="仿宋_GB2312"/>
                <w:color w:val="000000"/>
                <w:spacing w:val="-20"/>
                <w:kern w:val="0"/>
                <w:sz w:val="24"/>
                <w:szCs w:val="24"/>
              </w:rPr>
              <w:t>监管分局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4" w:hRule="atLeast"/>
        </w:trPr>
        <w:tc>
          <w:tcPr>
            <w:tcW w:w="702" w:type="dxa"/>
            <w:vAlign w:val="center"/>
          </w:tcPr>
          <w:p>
            <w:pPr>
              <w:kinsoku w:val="0"/>
              <w:overflowPunct w:val="0"/>
              <w:autoSpaceDE w:val="0"/>
              <w:autoSpaceDN w:val="0"/>
              <w:adjustRightInd w:val="0"/>
              <w:snapToGrid w:val="0"/>
              <w:spacing w:line="360" w:lineRule="exact"/>
              <w:jc w:val="center"/>
              <w:rPr>
                <w:rFonts w:hint="default" w:ascii="仿宋_GB2312" w:hAnsi="仿宋" w:eastAsia="仿宋_GB2312"/>
                <w:color w:val="000000"/>
                <w:spacing w:val="-20"/>
                <w:kern w:val="0"/>
                <w:sz w:val="24"/>
                <w:szCs w:val="24"/>
                <w:lang w:val="en-US" w:eastAsia="zh-CN"/>
              </w:rPr>
            </w:pPr>
            <w:r>
              <w:rPr>
                <w:rFonts w:hint="eastAsia" w:ascii="仿宋_GB2312" w:hAnsi="仿宋" w:eastAsia="仿宋_GB2312"/>
                <w:color w:val="000000"/>
                <w:spacing w:val="-20"/>
                <w:kern w:val="0"/>
                <w:sz w:val="24"/>
                <w:szCs w:val="24"/>
                <w:lang w:val="en-US" w:eastAsia="zh-CN"/>
              </w:rPr>
              <w:t>62</w:t>
            </w:r>
          </w:p>
        </w:tc>
        <w:tc>
          <w:tcPr>
            <w:tcW w:w="1228"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检验检测</w:t>
            </w:r>
          </w:p>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机构检查</w:t>
            </w:r>
          </w:p>
        </w:tc>
        <w:tc>
          <w:tcPr>
            <w:tcW w:w="3568"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检验检测机构检查</w:t>
            </w:r>
          </w:p>
        </w:tc>
        <w:tc>
          <w:tcPr>
            <w:tcW w:w="1283"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检验检测机构</w:t>
            </w:r>
          </w:p>
        </w:tc>
        <w:tc>
          <w:tcPr>
            <w:tcW w:w="1283" w:type="dxa"/>
            <w:vMerge w:val="continue"/>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p>
        </w:tc>
        <w:tc>
          <w:tcPr>
            <w:tcW w:w="1267"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书面检查、实地核查</w:t>
            </w:r>
          </w:p>
        </w:tc>
        <w:tc>
          <w:tcPr>
            <w:tcW w:w="4407"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计量法》第二十二条；《产品质量法》第十九条、第五十七条；《认证认可条例》第十六条、第三十三条；《检验检测机构资质认定管理办法》第四十一条至第四十七条；《食品检验机构资质认定管理办法》第三十二条至第四十条</w:t>
            </w:r>
          </w:p>
        </w:tc>
        <w:tc>
          <w:tcPr>
            <w:tcW w:w="1224" w:type="dxa"/>
            <w:vMerge w:val="continue"/>
            <w:vAlign w:val="center"/>
          </w:tcPr>
          <w:p>
            <w:pPr>
              <w:jc w:val="center"/>
              <w:rPr>
                <w:rFonts w:ascii="宋体"/>
                <w:b/>
                <w:bCs/>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02" w:type="dxa"/>
            <w:vAlign w:val="center"/>
          </w:tcPr>
          <w:p>
            <w:pPr>
              <w:spacing w:line="300" w:lineRule="exact"/>
              <w:jc w:val="center"/>
              <w:rPr>
                <w:rFonts w:hint="default" w:ascii="仿宋" w:hAnsi="仿宋" w:eastAsia="仿宋" w:cs="仿宋"/>
                <w:color w:val="000000"/>
                <w:spacing w:val="-20"/>
                <w:kern w:val="0"/>
                <w:lang w:val="en-US" w:eastAsia="zh-CN"/>
              </w:rPr>
            </w:pPr>
            <w:r>
              <w:rPr>
                <w:rFonts w:hint="eastAsia" w:ascii="仿宋" w:hAnsi="仿宋" w:eastAsia="仿宋" w:cs="仿宋"/>
                <w:color w:val="000000"/>
                <w:spacing w:val="-20"/>
                <w:kern w:val="0"/>
                <w:lang w:val="en-US" w:eastAsia="zh-CN"/>
              </w:rPr>
              <w:t>63</w:t>
            </w:r>
          </w:p>
        </w:tc>
        <w:tc>
          <w:tcPr>
            <w:tcW w:w="1228"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价格行为检查</w:t>
            </w:r>
          </w:p>
        </w:tc>
        <w:tc>
          <w:tcPr>
            <w:tcW w:w="3568"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执行政府定价、政府指导价情况，明码标价情况及其他价格行为的检查</w:t>
            </w:r>
          </w:p>
        </w:tc>
        <w:tc>
          <w:tcPr>
            <w:tcW w:w="1283"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《价格法》规定经营者</w:t>
            </w:r>
          </w:p>
        </w:tc>
        <w:tc>
          <w:tcPr>
            <w:tcW w:w="1283"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现场检查等</w:t>
            </w:r>
          </w:p>
        </w:tc>
        <w:tc>
          <w:tcPr>
            <w:tcW w:w="4407"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《价格法》</w:t>
            </w:r>
          </w:p>
        </w:tc>
        <w:tc>
          <w:tcPr>
            <w:tcW w:w="1224" w:type="dxa"/>
            <w:vMerge w:val="continue"/>
            <w:vAlign w:val="center"/>
          </w:tcPr>
          <w:p>
            <w:pPr>
              <w:spacing w:line="260" w:lineRule="exact"/>
              <w:rPr>
                <w:rFonts w:ascii="仿宋" w:hAnsi="仿宋" w:eastAsia="仿宋"/>
                <w:color w:val="000000"/>
                <w:spacing w:val="-2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702" w:type="dxa"/>
            <w:vAlign w:val="center"/>
          </w:tcPr>
          <w:p>
            <w:pPr>
              <w:spacing w:line="300" w:lineRule="exact"/>
              <w:jc w:val="center"/>
              <w:rPr>
                <w:rFonts w:hint="default" w:ascii="仿宋" w:hAnsi="仿宋" w:eastAsia="仿宋"/>
                <w:color w:val="000000"/>
                <w:spacing w:val="-20"/>
                <w:kern w:val="0"/>
                <w:lang w:val="en-US" w:eastAsia="zh-CN"/>
              </w:rPr>
            </w:pPr>
            <w:r>
              <w:rPr>
                <w:rFonts w:hint="eastAsia" w:ascii="仿宋" w:hAnsi="仿宋" w:eastAsia="仿宋"/>
                <w:color w:val="000000"/>
                <w:spacing w:val="-20"/>
                <w:kern w:val="0"/>
                <w:lang w:val="en-US" w:eastAsia="zh-CN"/>
              </w:rPr>
              <w:t>64</w:t>
            </w:r>
          </w:p>
        </w:tc>
        <w:tc>
          <w:tcPr>
            <w:tcW w:w="1228"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专利真实性监督检查</w:t>
            </w:r>
          </w:p>
        </w:tc>
        <w:tc>
          <w:tcPr>
            <w:tcW w:w="3568"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专利证书、专利文件或专利申请文件真实性的检查</w:t>
            </w:r>
          </w:p>
        </w:tc>
        <w:tc>
          <w:tcPr>
            <w:tcW w:w="1283"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各类市场主体、产品</w:t>
            </w:r>
          </w:p>
        </w:tc>
        <w:tc>
          <w:tcPr>
            <w:tcW w:w="1283"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一般检查事项</w:t>
            </w:r>
          </w:p>
        </w:tc>
        <w:tc>
          <w:tcPr>
            <w:tcW w:w="1267"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现场检查</w:t>
            </w:r>
          </w:p>
        </w:tc>
        <w:tc>
          <w:tcPr>
            <w:tcW w:w="4407"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《专利法》 第六十三条</w:t>
            </w:r>
          </w:p>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《专利法实施细则》 第八十四条</w:t>
            </w:r>
          </w:p>
        </w:tc>
        <w:tc>
          <w:tcPr>
            <w:tcW w:w="1224" w:type="dxa"/>
            <w:vMerge w:val="continue"/>
            <w:vAlign w:val="center"/>
          </w:tcPr>
          <w:p>
            <w:pPr>
              <w:spacing w:line="260" w:lineRule="exact"/>
              <w:rPr>
                <w:rFonts w:ascii="仿宋" w:hAnsi="仿宋" w:eastAsia="仿宋"/>
                <w:color w:val="000000"/>
                <w:spacing w:val="-2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6" w:hRule="atLeast"/>
        </w:trPr>
        <w:tc>
          <w:tcPr>
            <w:tcW w:w="702" w:type="dxa"/>
            <w:vAlign w:val="center"/>
          </w:tcPr>
          <w:p>
            <w:pPr>
              <w:spacing w:line="300" w:lineRule="exact"/>
              <w:jc w:val="center"/>
              <w:rPr>
                <w:rFonts w:hint="default" w:ascii="仿宋" w:hAnsi="仿宋" w:eastAsia="仿宋"/>
                <w:color w:val="000000"/>
                <w:spacing w:val="-20"/>
                <w:kern w:val="0"/>
                <w:lang w:val="en-US" w:eastAsia="zh-CN"/>
              </w:rPr>
            </w:pPr>
            <w:r>
              <w:rPr>
                <w:rFonts w:hint="eastAsia" w:ascii="仿宋" w:hAnsi="仿宋" w:eastAsia="仿宋"/>
                <w:color w:val="000000"/>
                <w:spacing w:val="-20"/>
                <w:kern w:val="0"/>
                <w:lang w:val="en-US" w:eastAsia="zh-CN"/>
              </w:rPr>
              <w:t>65</w:t>
            </w:r>
          </w:p>
        </w:tc>
        <w:tc>
          <w:tcPr>
            <w:tcW w:w="1228"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商标使用行为的检查</w:t>
            </w:r>
          </w:p>
        </w:tc>
        <w:tc>
          <w:tcPr>
            <w:tcW w:w="3568"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商标使用行为的检查</w:t>
            </w:r>
          </w:p>
        </w:tc>
        <w:tc>
          <w:tcPr>
            <w:tcW w:w="1283"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企业、个体工商户、农民专业合作社</w:t>
            </w:r>
          </w:p>
        </w:tc>
        <w:tc>
          <w:tcPr>
            <w:tcW w:w="1283"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一般检查事项</w:t>
            </w:r>
          </w:p>
        </w:tc>
        <w:tc>
          <w:tcPr>
            <w:tcW w:w="1267"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现场抽查、书面检查</w:t>
            </w:r>
          </w:p>
        </w:tc>
        <w:tc>
          <w:tcPr>
            <w:tcW w:w="4407"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《商标法》第六条、第十条、第十四条第五款、第四十三条第二款、第四十九条第一款、第五十一条、第五十二条、第五十三条</w:t>
            </w:r>
            <w:r>
              <w:rPr>
                <w:rFonts w:hint="eastAsia" w:ascii="仿宋_GB2312" w:hAnsi="仿宋" w:eastAsia="仿宋_GB2312" w:cs="仿宋_GB2312"/>
                <w:color w:val="000000"/>
                <w:spacing w:val="-20"/>
                <w:kern w:val="0"/>
                <w:sz w:val="24"/>
                <w:szCs w:val="24"/>
              </w:rPr>
              <w:br w:type="textWrapping"/>
            </w:r>
            <w:r>
              <w:rPr>
                <w:rFonts w:hint="eastAsia" w:ascii="仿宋_GB2312" w:hAnsi="仿宋" w:eastAsia="仿宋_GB2312" w:cs="仿宋_GB2312"/>
                <w:color w:val="000000"/>
                <w:spacing w:val="-20"/>
                <w:kern w:val="0"/>
                <w:sz w:val="24"/>
                <w:szCs w:val="24"/>
              </w:rPr>
              <w:t>商标法实施条例》第七十一条</w:t>
            </w:r>
          </w:p>
        </w:tc>
        <w:tc>
          <w:tcPr>
            <w:tcW w:w="1224" w:type="dxa"/>
            <w:vMerge w:val="continue"/>
            <w:vAlign w:val="center"/>
          </w:tcPr>
          <w:p>
            <w:pPr>
              <w:spacing w:line="260" w:lineRule="exact"/>
              <w:rPr>
                <w:rFonts w:ascii="仿宋" w:hAnsi="仿宋" w:eastAsia="仿宋"/>
                <w:color w:val="000000"/>
                <w:spacing w:val="-2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trPr>
        <w:tc>
          <w:tcPr>
            <w:tcW w:w="702" w:type="dxa"/>
            <w:vAlign w:val="center"/>
          </w:tcPr>
          <w:p>
            <w:pPr>
              <w:kinsoku w:val="0"/>
              <w:overflowPunct w:val="0"/>
              <w:autoSpaceDE w:val="0"/>
              <w:autoSpaceDN w:val="0"/>
              <w:adjustRightInd w:val="0"/>
              <w:snapToGrid w:val="0"/>
              <w:spacing w:line="300" w:lineRule="exact"/>
              <w:jc w:val="center"/>
              <w:rPr>
                <w:rFonts w:hint="default" w:ascii="仿宋_GB2312" w:hAnsi="黑体" w:eastAsia="仿宋_GB2312"/>
                <w:spacing w:val="-20"/>
                <w:sz w:val="24"/>
                <w:szCs w:val="24"/>
                <w:lang w:val="en-US" w:eastAsia="zh-CN"/>
              </w:rPr>
            </w:pPr>
            <w:r>
              <w:rPr>
                <w:rFonts w:hint="eastAsia" w:ascii="仿宋_GB2312" w:hAnsi="黑体" w:eastAsia="仿宋_GB2312"/>
                <w:spacing w:val="-20"/>
                <w:sz w:val="24"/>
                <w:szCs w:val="24"/>
                <w:lang w:val="en-US" w:eastAsia="zh-CN"/>
              </w:rPr>
              <w:t>66</w:t>
            </w:r>
          </w:p>
        </w:tc>
        <w:tc>
          <w:tcPr>
            <w:tcW w:w="1228"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污染源日常环境监督检查</w:t>
            </w:r>
          </w:p>
        </w:tc>
        <w:tc>
          <w:tcPr>
            <w:tcW w:w="3568"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对排放污染物的企业事业单位和其他生产经营者进行现场检查</w:t>
            </w:r>
          </w:p>
        </w:tc>
        <w:tc>
          <w:tcPr>
            <w:tcW w:w="1283"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所有污染源</w:t>
            </w:r>
          </w:p>
        </w:tc>
        <w:tc>
          <w:tcPr>
            <w:tcW w:w="1283"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w:t>
            </w:r>
          </w:p>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检查事项</w:t>
            </w:r>
          </w:p>
        </w:tc>
        <w:tc>
          <w:tcPr>
            <w:tcW w:w="1267"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实地核查</w:t>
            </w:r>
          </w:p>
        </w:tc>
        <w:tc>
          <w:tcPr>
            <w:tcW w:w="4407"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《中华人民共和国环境保护法》第二十四条</w:t>
            </w:r>
          </w:p>
        </w:tc>
        <w:tc>
          <w:tcPr>
            <w:tcW w:w="1224" w:type="dxa"/>
            <w:vMerge w:val="restart"/>
            <w:tcBorders>
              <w:right w:val="single" w:color="auto" w:sz="4" w:space="0"/>
            </w:tcBorders>
            <w:vAlign w:val="center"/>
          </w:tcPr>
          <w:p>
            <w:pPr>
              <w:kinsoku w:val="0"/>
              <w:overflowPunct w:val="0"/>
              <w:autoSpaceDE w:val="0"/>
              <w:autoSpaceDN w:val="0"/>
              <w:adjustRightInd w:val="0"/>
              <w:snapToGrid w:val="0"/>
              <w:spacing w:line="300" w:lineRule="exact"/>
              <w:jc w:val="center"/>
              <w:rPr>
                <w:rFonts w:ascii="仿宋_GB2312" w:eastAsia="仿宋_GB2312"/>
                <w:spacing w:val="-20"/>
                <w:sz w:val="24"/>
                <w:szCs w:val="24"/>
              </w:rPr>
            </w:pPr>
            <w:r>
              <w:rPr>
                <w:rFonts w:hint="eastAsia" w:ascii="仿宋_GB2312" w:eastAsia="仿宋_GB2312" w:cs="仿宋_GB2312"/>
                <w:spacing w:val="-20"/>
                <w:sz w:val="24"/>
                <w:szCs w:val="24"/>
              </w:rPr>
              <w:t>生态</w:t>
            </w:r>
          </w:p>
          <w:p>
            <w:pPr>
              <w:kinsoku w:val="0"/>
              <w:overflowPunct w:val="0"/>
              <w:autoSpaceDE w:val="0"/>
              <w:autoSpaceDN w:val="0"/>
              <w:adjustRightInd w:val="0"/>
              <w:snapToGrid w:val="0"/>
              <w:spacing w:line="300" w:lineRule="exact"/>
              <w:jc w:val="center"/>
              <w:rPr>
                <w:rFonts w:ascii="仿宋_GB2312" w:eastAsia="仿宋_GB2312"/>
                <w:spacing w:val="-20"/>
                <w:sz w:val="24"/>
                <w:szCs w:val="24"/>
              </w:rPr>
            </w:pPr>
            <w:r>
              <w:rPr>
                <w:rFonts w:hint="eastAsia" w:ascii="仿宋_GB2312" w:eastAsia="仿宋_GB2312" w:cs="仿宋_GB2312"/>
                <w:spacing w:val="-20"/>
                <w:sz w:val="24"/>
                <w:szCs w:val="24"/>
              </w:rPr>
              <w:t>环境中心</w:t>
            </w:r>
          </w:p>
          <w:p>
            <w:pPr>
              <w:kinsoku w:val="0"/>
              <w:overflowPunct w:val="0"/>
              <w:autoSpaceDE w:val="0"/>
              <w:autoSpaceDN w:val="0"/>
              <w:adjustRightInd w:val="0"/>
              <w:snapToGrid w:val="0"/>
              <w:spacing w:line="260" w:lineRule="exact"/>
              <w:rPr>
                <w:rFonts w:ascii="仿宋_GB2312" w:eastAsia="仿宋_GB2312"/>
                <w:spacing w:val="-2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702" w:type="dxa"/>
            <w:vAlign w:val="center"/>
          </w:tcPr>
          <w:p>
            <w:pPr>
              <w:kinsoku w:val="0"/>
              <w:overflowPunct w:val="0"/>
              <w:autoSpaceDE w:val="0"/>
              <w:autoSpaceDN w:val="0"/>
              <w:adjustRightInd w:val="0"/>
              <w:snapToGrid w:val="0"/>
              <w:spacing w:line="300" w:lineRule="exact"/>
              <w:jc w:val="center"/>
              <w:rPr>
                <w:rFonts w:ascii="仿宋_GB2312" w:eastAsia="仿宋_GB2312" w:cs="仿宋_GB2312"/>
                <w:color w:val="000000"/>
                <w:spacing w:val="-20"/>
                <w:sz w:val="24"/>
                <w:szCs w:val="24"/>
              </w:rPr>
            </w:pPr>
            <w:r>
              <w:rPr>
                <w:rFonts w:ascii="仿宋_GB2312" w:eastAsia="仿宋_GB2312" w:cs="仿宋_GB2312"/>
                <w:color w:val="000000"/>
                <w:spacing w:val="-20"/>
                <w:sz w:val="24"/>
                <w:szCs w:val="24"/>
              </w:rPr>
              <w:t>67</w:t>
            </w:r>
          </w:p>
        </w:tc>
        <w:tc>
          <w:tcPr>
            <w:tcW w:w="1228"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机动车销售企业监管</w:t>
            </w:r>
          </w:p>
        </w:tc>
        <w:tc>
          <w:tcPr>
            <w:tcW w:w="3568"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机动车环保信息公开检查</w:t>
            </w:r>
          </w:p>
        </w:tc>
        <w:tc>
          <w:tcPr>
            <w:tcW w:w="1283"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机动车销售企业</w:t>
            </w:r>
          </w:p>
        </w:tc>
        <w:tc>
          <w:tcPr>
            <w:tcW w:w="1283"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一般检查事项</w:t>
            </w:r>
          </w:p>
        </w:tc>
        <w:tc>
          <w:tcPr>
            <w:tcW w:w="1267"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实地核查</w:t>
            </w:r>
          </w:p>
        </w:tc>
        <w:tc>
          <w:tcPr>
            <w:tcW w:w="4407" w:type="dxa"/>
            <w:vAlign w:val="center"/>
          </w:tcPr>
          <w:p>
            <w:pPr>
              <w:kinsoku w:val="0"/>
              <w:overflowPunct w:val="0"/>
              <w:autoSpaceDE w:val="0"/>
              <w:autoSpaceDN w:val="0"/>
              <w:adjustRightInd w:val="0"/>
              <w:snapToGrid w:val="0"/>
              <w:spacing w:line="360" w:lineRule="exact"/>
              <w:rPr>
                <w:rFonts w:hint="eastAsia" w:ascii="仿宋_GB2312" w:hAnsi="仿宋" w:eastAsia="仿宋_GB2312" w:cs="仿宋_GB2312"/>
                <w:color w:val="000000"/>
                <w:spacing w:val="-20"/>
                <w:kern w:val="0"/>
                <w:sz w:val="24"/>
                <w:szCs w:val="24"/>
              </w:rPr>
            </w:pPr>
            <w:r>
              <w:rPr>
                <w:rFonts w:hint="eastAsia" w:ascii="仿宋_GB2312" w:hAnsi="仿宋" w:eastAsia="仿宋_GB2312" w:cs="仿宋_GB2312"/>
                <w:color w:val="000000"/>
                <w:spacing w:val="-20"/>
                <w:kern w:val="0"/>
                <w:sz w:val="24"/>
                <w:szCs w:val="24"/>
              </w:rPr>
              <w:t>《中华人民共和国大气污染防治法》《关于开展机动车和非道路移动机械环保信息公开工作的公告》（国环规大气〔2016〕3号）</w:t>
            </w:r>
          </w:p>
        </w:tc>
        <w:tc>
          <w:tcPr>
            <w:tcW w:w="1224" w:type="dxa"/>
            <w:vMerge w:val="continue"/>
            <w:tcBorders>
              <w:right w:val="single" w:color="auto" w:sz="4" w:space="0"/>
            </w:tcBorders>
            <w:vAlign w:val="center"/>
          </w:tcPr>
          <w:p>
            <w:pPr>
              <w:kinsoku w:val="0"/>
              <w:overflowPunct w:val="0"/>
              <w:autoSpaceDE w:val="0"/>
              <w:autoSpaceDN w:val="0"/>
              <w:adjustRightInd w:val="0"/>
              <w:snapToGrid w:val="0"/>
              <w:spacing w:line="260" w:lineRule="exact"/>
              <w:rPr>
                <w:rFonts w:ascii="仿宋_GB2312" w:eastAsia="仿宋_GB2312"/>
                <w:color w:val="000000"/>
                <w:spacing w:val="-20"/>
                <w:sz w:val="24"/>
                <w:szCs w:val="24"/>
              </w:rPr>
            </w:pPr>
          </w:p>
        </w:tc>
      </w:tr>
    </w:tbl>
    <w:p>
      <w:pPr>
        <w:spacing w:line="560" w:lineRule="exact"/>
        <w:rPr>
          <w:rFonts w:ascii="仿宋_GB2312" w:eastAsia="仿宋_GB2312"/>
          <w:color w:val="000000"/>
          <w:sz w:val="32"/>
          <w:szCs w:val="32"/>
        </w:rPr>
        <w:sectPr>
          <w:footerReference r:id="rId3" w:type="default"/>
          <w:pgSz w:w="16783" w:h="11850" w:orient="landscape"/>
          <w:pgMar w:top="1134" w:right="1134" w:bottom="794" w:left="1134" w:header="851" w:footer="1191" w:gutter="0"/>
          <w:pgNumType w:fmt="numberInDash"/>
          <w:cols w:space="0" w:num="1"/>
          <w:docGrid w:linePitch="312" w:charSpace="0"/>
        </w:sectPr>
      </w:pPr>
    </w:p>
    <w:p>
      <w:pPr>
        <w:spacing w:line="560" w:lineRule="exact"/>
      </w:pPr>
    </w:p>
    <w:sectPr>
      <w:pgSz w:w="16838" w:h="11906" w:orient="landscape"/>
      <w:pgMar w:top="1361" w:right="1134" w:bottom="1361" w:left="1134" w:header="851" w:footer="1191"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11"/>
      </w:rPr>
    </w:pPr>
    <w:r>
      <w:rPr>
        <w:rStyle w:val="11"/>
      </w:rPr>
      <w:fldChar w:fldCharType="begin"/>
    </w:r>
    <w:r>
      <w:rPr>
        <w:rStyle w:val="11"/>
      </w:rPr>
      <w:instrText xml:space="preserve">PAGE  </w:instrText>
    </w:r>
    <w:r>
      <w:rPr>
        <w:rStyle w:val="11"/>
      </w:rPr>
      <w:fldChar w:fldCharType="separate"/>
    </w:r>
    <w:r>
      <w:rPr>
        <w:rStyle w:val="11"/>
      </w:rPr>
      <w:t>- 28 -</w:t>
    </w:r>
    <w:r>
      <w:rPr>
        <w:rStyle w:val="11"/>
      </w:rPr>
      <w:fldChar w:fldCharType="end"/>
    </w:r>
  </w:p>
  <w:p>
    <w:pPr>
      <w:pStyle w:val="3"/>
      <w:ind w:right="360"/>
      <w:jc w:val="center"/>
      <w:rPr>
        <w:sz w:val="24"/>
        <w:szCs w:val="24"/>
      </w:rPr>
    </w:pP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922595"/>
    <w:multiLevelType w:val="singleLevel"/>
    <w:tmpl w:val="F0922595"/>
    <w:lvl w:ilvl="0" w:tentative="0">
      <w:start w:val="1"/>
      <w:numFmt w:val="decimal"/>
      <w:suff w:val="nothing"/>
      <w:lvlText w:val="%1、"/>
      <w:lvlJc w:val="left"/>
    </w:lvl>
  </w:abstractNum>
  <w:abstractNum w:abstractNumId="1">
    <w:nsid w:val="1AB615FE"/>
    <w:multiLevelType w:val="singleLevel"/>
    <w:tmpl w:val="1AB615FE"/>
    <w:lvl w:ilvl="0" w:tentative="0">
      <w:start w:val="1"/>
      <w:numFmt w:val="decimal"/>
      <w:suff w:val="nothing"/>
      <w:lvlText w:val="%1、"/>
      <w:lvlJc w:val="left"/>
    </w:lvl>
  </w:abstractNum>
  <w:abstractNum w:abstractNumId="2">
    <w:nsid w:val="210BBC65"/>
    <w:multiLevelType w:val="singleLevel"/>
    <w:tmpl w:val="210BBC65"/>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7B6"/>
    <w:rsid w:val="000105C3"/>
    <w:rsid w:val="000349F9"/>
    <w:rsid w:val="0004544C"/>
    <w:rsid w:val="0009585F"/>
    <w:rsid w:val="000978DE"/>
    <w:rsid w:val="000B5C7A"/>
    <w:rsid w:val="000C0A3F"/>
    <w:rsid w:val="000E2BBF"/>
    <w:rsid w:val="000E3305"/>
    <w:rsid w:val="000E3928"/>
    <w:rsid w:val="000F2912"/>
    <w:rsid w:val="000F698C"/>
    <w:rsid w:val="00115970"/>
    <w:rsid w:val="001218BE"/>
    <w:rsid w:val="0012401B"/>
    <w:rsid w:val="0012514C"/>
    <w:rsid w:val="001263DD"/>
    <w:rsid w:val="001277BA"/>
    <w:rsid w:val="00132765"/>
    <w:rsid w:val="00140059"/>
    <w:rsid w:val="001411FA"/>
    <w:rsid w:val="00147397"/>
    <w:rsid w:val="001564DB"/>
    <w:rsid w:val="001613A3"/>
    <w:rsid w:val="001618F4"/>
    <w:rsid w:val="00163272"/>
    <w:rsid w:val="001722C5"/>
    <w:rsid w:val="001B308B"/>
    <w:rsid w:val="001B5420"/>
    <w:rsid w:val="001E3FC0"/>
    <w:rsid w:val="001E6ECD"/>
    <w:rsid w:val="001F33FE"/>
    <w:rsid w:val="00222B97"/>
    <w:rsid w:val="002250E5"/>
    <w:rsid w:val="0025710F"/>
    <w:rsid w:val="00261E17"/>
    <w:rsid w:val="00265181"/>
    <w:rsid w:val="00266612"/>
    <w:rsid w:val="00290779"/>
    <w:rsid w:val="00297F4F"/>
    <w:rsid w:val="002B15F6"/>
    <w:rsid w:val="00304C48"/>
    <w:rsid w:val="00305671"/>
    <w:rsid w:val="00327791"/>
    <w:rsid w:val="00335A84"/>
    <w:rsid w:val="003621D1"/>
    <w:rsid w:val="003841D4"/>
    <w:rsid w:val="003C2758"/>
    <w:rsid w:val="003C499F"/>
    <w:rsid w:val="003C515E"/>
    <w:rsid w:val="003D74C0"/>
    <w:rsid w:val="003E4F8F"/>
    <w:rsid w:val="0040244A"/>
    <w:rsid w:val="00405B3F"/>
    <w:rsid w:val="00406141"/>
    <w:rsid w:val="004120C8"/>
    <w:rsid w:val="0041483C"/>
    <w:rsid w:val="004200ED"/>
    <w:rsid w:val="00455FD3"/>
    <w:rsid w:val="00463850"/>
    <w:rsid w:val="00472854"/>
    <w:rsid w:val="00477BF6"/>
    <w:rsid w:val="004975FD"/>
    <w:rsid w:val="004A101D"/>
    <w:rsid w:val="004D43E0"/>
    <w:rsid w:val="004D62FA"/>
    <w:rsid w:val="004F1FD7"/>
    <w:rsid w:val="004F46E2"/>
    <w:rsid w:val="00502B50"/>
    <w:rsid w:val="005031C8"/>
    <w:rsid w:val="0050717D"/>
    <w:rsid w:val="00513B51"/>
    <w:rsid w:val="00517AA6"/>
    <w:rsid w:val="005211EC"/>
    <w:rsid w:val="00521F80"/>
    <w:rsid w:val="00556D32"/>
    <w:rsid w:val="00563FBC"/>
    <w:rsid w:val="00566C0B"/>
    <w:rsid w:val="005839A5"/>
    <w:rsid w:val="005960FE"/>
    <w:rsid w:val="005B047E"/>
    <w:rsid w:val="005C3A2B"/>
    <w:rsid w:val="005C5CB0"/>
    <w:rsid w:val="005D3026"/>
    <w:rsid w:val="005E7E55"/>
    <w:rsid w:val="00610A7A"/>
    <w:rsid w:val="00646370"/>
    <w:rsid w:val="00654D69"/>
    <w:rsid w:val="00666B0E"/>
    <w:rsid w:val="00670E1E"/>
    <w:rsid w:val="00674E1D"/>
    <w:rsid w:val="00675D72"/>
    <w:rsid w:val="00680C02"/>
    <w:rsid w:val="006A112A"/>
    <w:rsid w:val="006C1AF5"/>
    <w:rsid w:val="006D07B6"/>
    <w:rsid w:val="006E2C36"/>
    <w:rsid w:val="006E2F8F"/>
    <w:rsid w:val="006E3B56"/>
    <w:rsid w:val="006F6FEF"/>
    <w:rsid w:val="006F77AF"/>
    <w:rsid w:val="0072515B"/>
    <w:rsid w:val="00740DD4"/>
    <w:rsid w:val="007446FF"/>
    <w:rsid w:val="007447B0"/>
    <w:rsid w:val="00762D13"/>
    <w:rsid w:val="00766479"/>
    <w:rsid w:val="00782A3C"/>
    <w:rsid w:val="00783025"/>
    <w:rsid w:val="007859F9"/>
    <w:rsid w:val="00790339"/>
    <w:rsid w:val="00790866"/>
    <w:rsid w:val="00790B66"/>
    <w:rsid w:val="00795FEC"/>
    <w:rsid w:val="007963EC"/>
    <w:rsid w:val="007A2DBA"/>
    <w:rsid w:val="007A40CF"/>
    <w:rsid w:val="007F21FD"/>
    <w:rsid w:val="007F54B6"/>
    <w:rsid w:val="007F6FD4"/>
    <w:rsid w:val="00805760"/>
    <w:rsid w:val="008162EB"/>
    <w:rsid w:val="0081745C"/>
    <w:rsid w:val="0081765B"/>
    <w:rsid w:val="008254F2"/>
    <w:rsid w:val="00845F18"/>
    <w:rsid w:val="00847622"/>
    <w:rsid w:val="00861A7C"/>
    <w:rsid w:val="0086436E"/>
    <w:rsid w:val="008658F7"/>
    <w:rsid w:val="00882300"/>
    <w:rsid w:val="00885A8F"/>
    <w:rsid w:val="008A77D1"/>
    <w:rsid w:val="008B277E"/>
    <w:rsid w:val="008C0155"/>
    <w:rsid w:val="00901EA8"/>
    <w:rsid w:val="00902450"/>
    <w:rsid w:val="00904C78"/>
    <w:rsid w:val="00921DEF"/>
    <w:rsid w:val="00927AB8"/>
    <w:rsid w:val="00930FB5"/>
    <w:rsid w:val="00944682"/>
    <w:rsid w:val="009459D3"/>
    <w:rsid w:val="00955F63"/>
    <w:rsid w:val="009607BF"/>
    <w:rsid w:val="00977576"/>
    <w:rsid w:val="00980952"/>
    <w:rsid w:val="00982759"/>
    <w:rsid w:val="00994CF3"/>
    <w:rsid w:val="009A341E"/>
    <w:rsid w:val="009A513D"/>
    <w:rsid w:val="009B3C4C"/>
    <w:rsid w:val="009B4EA8"/>
    <w:rsid w:val="009C50A5"/>
    <w:rsid w:val="009F0D72"/>
    <w:rsid w:val="00A219AF"/>
    <w:rsid w:val="00A3097A"/>
    <w:rsid w:val="00A326BB"/>
    <w:rsid w:val="00A73F0C"/>
    <w:rsid w:val="00A75FA7"/>
    <w:rsid w:val="00A76DBD"/>
    <w:rsid w:val="00A77595"/>
    <w:rsid w:val="00A90E76"/>
    <w:rsid w:val="00A93567"/>
    <w:rsid w:val="00AB68AD"/>
    <w:rsid w:val="00AB7A19"/>
    <w:rsid w:val="00AC09B0"/>
    <w:rsid w:val="00AC24FC"/>
    <w:rsid w:val="00AC6FFE"/>
    <w:rsid w:val="00AE21D5"/>
    <w:rsid w:val="00AE3487"/>
    <w:rsid w:val="00AE4B58"/>
    <w:rsid w:val="00AF45C3"/>
    <w:rsid w:val="00AF554B"/>
    <w:rsid w:val="00B221BB"/>
    <w:rsid w:val="00B239FB"/>
    <w:rsid w:val="00B24CAA"/>
    <w:rsid w:val="00B61C87"/>
    <w:rsid w:val="00B73BD7"/>
    <w:rsid w:val="00B761DE"/>
    <w:rsid w:val="00BA009F"/>
    <w:rsid w:val="00BB49E3"/>
    <w:rsid w:val="00BB541A"/>
    <w:rsid w:val="00BB5FBB"/>
    <w:rsid w:val="00BC34BB"/>
    <w:rsid w:val="00BC5647"/>
    <w:rsid w:val="00BD0C74"/>
    <w:rsid w:val="00BF05B0"/>
    <w:rsid w:val="00BF3AE7"/>
    <w:rsid w:val="00BF7E01"/>
    <w:rsid w:val="00C019F7"/>
    <w:rsid w:val="00C01E9D"/>
    <w:rsid w:val="00C30474"/>
    <w:rsid w:val="00C3638B"/>
    <w:rsid w:val="00C44FF8"/>
    <w:rsid w:val="00C52367"/>
    <w:rsid w:val="00C53C52"/>
    <w:rsid w:val="00C54461"/>
    <w:rsid w:val="00C61F2A"/>
    <w:rsid w:val="00C70AD6"/>
    <w:rsid w:val="00C92DC7"/>
    <w:rsid w:val="00C94A04"/>
    <w:rsid w:val="00C95405"/>
    <w:rsid w:val="00CA5143"/>
    <w:rsid w:val="00CA7E3F"/>
    <w:rsid w:val="00CD77EC"/>
    <w:rsid w:val="00CE32B8"/>
    <w:rsid w:val="00D50DF0"/>
    <w:rsid w:val="00D51CF6"/>
    <w:rsid w:val="00D730CB"/>
    <w:rsid w:val="00D96C0D"/>
    <w:rsid w:val="00DC4749"/>
    <w:rsid w:val="00DD0F42"/>
    <w:rsid w:val="00DD2137"/>
    <w:rsid w:val="00DE3465"/>
    <w:rsid w:val="00DE65DE"/>
    <w:rsid w:val="00DF0D2E"/>
    <w:rsid w:val="00DF579A"/>
    <w:rsid w:val="00E05ECE"/>
    <w:rsid w:val="00E075C2"/>
    <w:rsid w:val="00E35FB7"/>
    <w:rsid w:val="00E37871"/>
    <w:rsid w:val="00E44431"/>
    <w:rsid w:val="00E44A7D"/>
    <w:rsid w:val="00E53064"/>
    <w:rsid w:val="00E917B7"/>
    <w:rsid w:val="00EA5DC0"/>
    <w:rsid w:val="00EA6B4A"/>
    <w:rsid w:val="00EA784D"/>
    <w:rsid w:val="00EB097C"/>
    <w:rsid w:val="00EB269D"/>
    <w:rsid w:val="00EE53FD"/>
    <w:rsid w:val="00EF1B81"/>
    <w:rsid w:val="00F07446"/>
    <w:rsid w:val="00F13E2B"/>
    <w:rsid w:val="00F46D1B"/>
    <w:rsid w:val="00F50CB4"/>
    <w:rsid w:val="00F560FF"/>
    <w:rsid w:val="00F62922"/>
    <w:rsid w:val="00F64173"/>
    <w:rsid w:val="00F648EB"/>
    <w:rsid w:val="00F6580F"/>
    <w:rsid w:val="00F74260"/>
    <w:rsid w:val="00F7692C"/>
    <w:rsid w:val="00F804EF"/>
    <w:rsid w:val="00F914ED"/>
    <w:rsid w:val="00FB6764"/>
    <w:rsid w:val="00FD734D"/>
    <w:rsid w:val="00FE04F3"/>
    <w:rsid w:val="00FE50E6"/>
    <w:rsid w:val="00FE6006"/>
    <w:rsid w:val="00FE7924"/>
    <w:rsid w:val="00FF4C60"/>
    <w:rsid w:val="034D0168"/>
    <w:rsid w:val="148B441D"/>
    <w:rsid w:val="15652BD8"/>
    <w:rsid w:val="38945A1B"/>
    <w:rsid w:val="3C7D479C"/>
    <w:rsid w:val="49391C51"/>
    <w:rsid w:val="75FD9824"/>
    <w:rsid w:val="7842237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ocked="1"/>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link w:val="12"/>
    <w:qFormat/>
    <w:uiPriority w:val="99"/>
    <w:pPr>
      <w:widowControl/>
      <w:spacing w:before="100" w:beforeAutospacing="1" w:after="100" w:afterAutospacing="1"/>
      <w:jc w:val="left"/>
      <w:outlineLvl w:val="2"/>
    </w:pPr>
    <w:rPr>
      <w:rFonts w:ascii="宋体" w:hAnsi="宋体" w:cs="宋体"/>
      <w:b/>
      <w:bCs/>
      <w:kern w:val="0"/>
      <w:sz w:val="27"/>
      <w:szCs w:val="27"/>
    </w:rPr>
  </w:style>
  <w:style w:type="character" w:default="1" w:styleId="8">
    <w:name w:val="Default Paragraph Font"/>
    <w:link w:val="9"/>
    <w:semiHidden/>
    <w:qFormat/>
    <w:locked/>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5"/>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after="136"/>
      <w:jc w:val="left"/>
    </w:pPr>
    <w:rPr>
      <w:rFonts w:ascii="宋体" w:hAnsi="宋体" w:cs="宋体"/>
      <w:kern w:val="0"/>
      <w:sz w:val="24"/>
      <w:szCs w:val="24"/>
    </w:rPr>
  </w:style>
  <w:style w:type="table" w:styleId="7">
    <w:name w:val="Table Grid"/>
    <w:basedOn w:val="6"/>
    <w:qFormat/>
    <w:uiPriority w:val="99"/>
    <w:rPr>
      <w:rFonts w:cs="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Char1"/>
    <w:basedOn w:val="1"/>
    <w:link w:val="8"/>
    <w:qFormat/>
    <w:uiPriority w:val="99"/>
    <w:pPr>
      <w:spacing w:line="240" w:lineRule="exact"/>
    </w:pPr>
    <w:rPr>
      <w:rFonts w:ascii="仿宋_GB2312" w:hAnsi="宋体" w:eastAsia="仿宋_GB2312" w:cs="仿宋_GB2312"/>
      <w:sz w:val="32"/>
      <w:szCs w:val="32"/>
    </w:rPr>
  </w:style>
  <w:style w:type="character" w:styleId="10">
    <w:name w:val="Strong"/>
    <w:basedOn w:val="8"/>
    <w:qFormat/>
    <w:uiPriority w:val="99"/>
  </w:style>
  <w:style w:type="character" w:styleId="11">
    <w:name w:val="page number"/>
    <w:basedOn w:val="8"/>
    <w:qFormat/>
    <w:uiPriority w:val="99"/>
  </w:style>
  <w:style w:type="character" w:customStyle="1" w:styleId="12">
    <w:name w:val="Heading 3 Char"/>
    <w:basedOn w:val="8"/>
    <w:link w:val="2"/>
    <w:qFormat/>
    <w:locked/>
    <w:uiPriority w:val="99"/>
    <w:rPr>
      <w:rFonts w:ascii="宋体" w:hAnsi="宋体" w:eastAsia="宋体" w:cs="宋体"/>
      <w:b/>
      <w:bCs/>
      <w:kern w:val="0"/>
      <w:sz w:val="27"/>
      <w:szCs w:val="27"/>
    </w:rPr>
  </w:style>
  <w:style w:type="character" w:customStyle="1" w:styleId="13">
    <w:name w:val="Footer Char"/>
    <w:basedOn w:val="8"/>
    <w:link w:val="3"/>
    <w:qFormat/>
    <w:locked/>
    <w:uiPriority w:val="99"/>
    <w:rPr>
      <w:rFonts w:ascii="Times New Roman" w:hAnsi="Times New Roman" w:eastAsia="宋体" w:cs="Times New Roman"/>
      <w:sz w:val="18"/>
      <w:szCs w:val="18"/>
    </w:rPr>
  </w:style>
  <w:style w:type="paragraph" w:customStyle="1" w:styleId="14">
    <w:name w:val="Char Char Char Char Char Char Char Char Char Char"/>
    <w:basedOn w:val="1"/>
    <w:qFormat/>
    <w:uiPriority w:val="99"/>
    <w:rPr>
      <w:rFonts w:ascii="Calibri" w:hAnsi="Calibri" w:cs="Calibri"/>
    </w:rPr>
  </w:style>
  <w:style w:type="character" w:customStyle="1" w:styleId="15">
    <w:name w:val="Header Char"/>
    <w:basedOn w:val="8"/>
    <w:link w:val="4"/>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29</Pages>
  <Words>2827</Words>
  <Characters>16119</Characters>
  <Lines>0</Lines>
  <Paragraphs>0</Paragraphs>
  <TotalTime>83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2019-06-05T21:06:00Z</dcterms:created>
  <dc:creator>User</dc:creator>
  <cp:lastModifiedBy>guest</cp:lastModifiedBy>
  <cp:lastPrinted>2023-04-04T13:43:00Z</cp:lastPrinted>
  <dcterms:modified xsi:type="dcterms:W3CDTF">2025-04-14T09:46:46Z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