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黑体" w:eastAsia="黑体" w:hAnsi="黑体" w:cs="黑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黑体" w:eastAsia="黑体" w:hAnsi="黑体" w:cs="黑体"/>
        </w:rPr>
        <w:t>附件1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3"/>
        <w:rPr>
          <w:rtl w:val="0"/>
          <w:rStyle w:val="PO1"/>
          <w:spacing w:val="0"/>
          <w:b w:val="1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center"/>
        <w:shd w:val="clear" w:color="000000" w:fill="FFFFFF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44"/>
          <w:szCs w:val="44"/>
          <w:rFonts w:ascii="方正小标宋简体" w:eastAsia="方正小标宋简体" w:hAnsi="方正小标宋简体" w:cs="方正小标宋简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方正小标宋简体" w:eastAsia="方正小标宋简体" w:hAnsi="方正小标宋简体" w:cs="方正小标宋简体"/>
        </w:rPr>
        <w:t>养老服务综合监管市级有关部门职责分工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市发展改革委配合行业主管部门对政府投资的养老服务项目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建设实施管理，对普惠性养老项目实施评估。配合市场监管部门、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行业主管部门对养老服务机构收费行为进行监管。加强信用监管。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市教育局依照权限负责中等职业院校设立养老服务专业及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“1+x”试点工作。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市公安局负责查处扰乱养老服务机构工作秩序，故意伤害、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虐待老年人等侵犯老年人人身权利，以及以养老服务为名实施非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法集资和诈骗等侵犯老年人财产权利的违法犯罪行为。加强人口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管理信息的共享应用，提升行业监管能力和服务管理效率。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市民政局负责养老服务机构服务质量、安全、运营的监督管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理和业务指导。推进养老服务标准化体系建设。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市财政局会同市民政局负责对养老服务机构建设补贴和运营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补贴资金使用情况、政府购买养老服务进行监督管理。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市人力资源和社会保障局负责养老护理员职业技能等级认定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机构备案，指导备案机构规范开展养老护理员技能等级认定工作。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推动社会保障卡在养老服务领域应用，加强老年人社会保障公共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服务的信息共享。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市自然资源和规划局负责对养老服务机构规划用地等进行监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督检查。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市生态环境局负责指导审批新建养老服务机构的环境影响评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价文件，依法对养老服务机构污染物排放情况进行监督检查。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市住房和城乡建设局负责对养老服务机构进行消防设计审查、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消防验收以及备案抽查工作。负责对养老服务设施工程建设质量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安全的监督管理。依法负责养老服务设施工程建设标准规范的执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行监督。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市卫生健康委负责养老服务机构内设医疗机构依法执业、服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务质量安全的监督管理。依法负责指导养老服务机构聚集性传染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病处置、突发公共卫生事件的医疗卫生救援和应急工作。依法负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责采集、汇聚、存储、应用、共享老年人基本健康医疗数据。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市应急管理局负责按程序提请本级安全生产委员会将养老等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社会服务机构安全生产监督管理工作纳入对本级政府有关部门年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度安全生产考核。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市审计局负责对财政资金的使用情况、政府购买养老服务进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行监督检查。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市市场监督管理局负责查处养老服务机构不执行政府定价、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政府指导价和不按规定明码标价等价格违法行为。推动养老服务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标准化工作，对养老服务机构的特种设备安全、食品安全进行监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督检查。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市行政审批服务局会同市民政局负责指导县区做好养老服务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机构登记备案。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市医保局负责对纳入医保定点的养老服务机构内设医疗机构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医保基金的使用进行监督管理。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市银保监分局负责对银行业、保险业金融机构参与养老服务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市场相关行为进行监督管理。指导和督促银行、保险机构做好对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涉嫌非法集资风险的排查。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市消防救援支队负责对养老服务机构实施消防监督检查。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0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市金融办负责组织有关单位对养老服务领域非法集资行为进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行行政处置，按规定向公安机关移送涉嫌非法集资犯罪线索。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20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