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i w:val="0"/>
          <w:caps w:val="0"/>
          <w:color w:val="2B2B2B"/>
          <w:spacing w:val="0"/>
          <w:sz w:val="48"/>
          <w:szCs w:val="48"/>
          <w:shd w:val="clear" w:fill="FFFFFF"/>
          <w:lang w:val="en-US" w:eastAsia="zh-CN"/>
        </w:rPr>
      </w:pPr>
      <w:r>
        <w:rPr>
          <w:rFonts w:hint="eastAsia" w:ascii="方正小标宋简体" w:hAnsi="方正小标宋简体" w:eastAsia="方正小标宋简体" w:cs="方正小标宋简体"/>
          <w:i w:val="0"/>
          <w:caps w:val="0"/>
          <w:color w:val="2B2B2B"/>
          <w:spacing w:val="0"/>
          <w:sz w:val="48"/>
          <w:szCs w:val="48"/>
          <w:shd w:val="clear" w:fill="FFFFFF"/>
          <w:lang w:val="en-US" w:eastAsia="zh-CN"/>
        </w:rPr>
        <w:t>说  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caps w:val="0"/>
          <w:color w:val="2B2B2B"/>
          <w:spacing w:val="0"/>
          <w:sz w:val="32"/>
          <w:szCs w:val="32"/>
          <w:shd w:val="clear" w:fill="FFFFFF"/>
          <w:lang w:eastAsia="zh-CN"/>
        </w:rPr>
      </w:pPr>
      <w:r>
        <w:rPr>
          <w:rFonts w:hint="eastAsia" w:ascii="方正小标宋简体" w:hAnsi="方正小标宋简体" w:eastAsia="方正小标宋简体" w:cs="方正小标宋简体"/>
          <w:i w:val="0"/>
          <w:caps w:val="0"/>
          <w:color w:val="2B2B2B"/>
          <w:spacing w:val="0"/>
          <w:sz w:val="32"/>
          <w:szCs w:val="32"/>
          <w:shd w:val="clear" w:fill="FFFFFF"/>
          <w:lang w:val="en-US" w:eastAsia="zh-CN"/>
        </w:rPr>
        <w:t>一.2021年“三公”经费预算情况说明。</w:t>
      </w:r>
      <w:r>
        <w:rPr>
          <w:rFonts w:hint="eastAsia" w:ascii="仿宋" w:hAnsi="仿宋" w:eastAsia="仿宋" w:cs="仿宋"/>
          <w:i w:val="0"/>
          <w:caps w:val="0"/>
          <w:color w:val="2B2B2B"/>
          <w:spacing w:val="0"/>
          <w:sz w:val="32"/>
          <w:szCs w:val="32"/>
          <w:shd w:val="clear" w:fill="FFFFFF"/>
        </w:rPr>
        <w:t>20</w:t>
      </w:r>
      <w:r>
        <w:rPr>
          <w:rFonts w:hint="eastAsia" w:ascii="仿宋" w:hAnsi="仿宋" w:eastAsia="仿宋" w:cs="仿宋"/>
          <w:i w:val="0"/>
          <w:caps w:val="0"/>
          <w:color w:val="2B2B2B"/>
          <w:spacing w:val="0"/>
          <w:sz w:val="32"/>
          <w:szCs w:val="32"/>
          <w:shd w:val="clear" w:fill="FFFFFF"/>
          <w:lang w:val="en-US" w:eastAsia="zh-CN"/>
        </w:rPr>
        <w:t>21</w:t>
      </w:r>
      <w:r>
        <w:rPr>
          <w:rFonts w:hint="eastAsia" w:ascii="仿宋" w:hAnsi="仿宋" w:eastAsia="仿宋" w:cs="仿宋"/>
          <w:i w:val="0"/>
          <w:caps w:val="0"/>
          <w:color w:val="2B2B2B"/>
          <w:spacing w:val="0"/>
          <w:sz w:val="32"/>
          <w:szCs w:val="32"/>
          <w:shd w:val="clear" w:fill="FFFFFF"/>
        </w:rPr>
        <w:t>年，太白县全年“三公”经费预算</w:t>
      </w:r>
      <w:r>
        <w:rPr>
          <w:rFonts w:hint="eastAsia" w:ascii="仿宋" w:hAnsi="仿宋" w:eastAsia="仿宋" w:cs="仿宋"/>
          <w:i w:val="0"/>
          <w:caps w:val="0"/>
          <w:color w:val="2B2B2B"/>
          <w:spacing w:val="0"/>
          <w:sz w:val="32"/>
          <w:szCs w:val="32"/>
          <w:shd w:val="clear" w:fill="FFFFFF"/>
          <w:lang w:val="en-US" w:eastAsia="zh-CN"/>
        </w:rPr>
        <w:t>281.62</w:t>
      </w:r>
      <w:r>
        <w:rPr>
          <w:rFonts w:hint="eastAsia" w:ascii="仿宋" w:hAnsi="仿宋" w:eastAsia="仿宋" w:cs="仿宋"/>
          <w:i w:val="0"/>
          <w:caps w:val="0"/>
          <w:color w:val="2B2B2B"/>
          <w:spacing w:val="0"/>
          <w:sz w:val="32"/>
          <w:szCs w:val="32"/>
          <w:shd w:val="clear" w:fill="FFFFFF"/>
        </w:rPr>
        <w:t>万元，较上年</w:t>
      </w:r>
      <w:r>
        <w:rPr>
          <w:rFonts w:hint="eastAsia" w:ascii="仿宋" w:hAnsi="仿宋" w:eastAsia="仿宋" w:cs="仿宋"/>
          <w:i w:val="0"/>
          <w:caps w:val="0"/>
          <w:color w:val="2B2B2B"/>
          <w:spacing w:val="0"/>
          <w:sz w:val="32"/>
          <w:szCs w:val="32"/>
          <w:shd w:val="clear" w:fill="FFFFFF"/>
          <w:lang w:val="en-US" w:eastAsia="zh-CN"/>
        </w:rPr>
        <w:t>预算数总体下降0.09%，较上年</w:t>
      </w:r>
      <w:r>
        <w:rPr>
          <w:rFonts w:hint="eastAsia" w:ascii="仿宋" w:hAnsi="仿宋" w:eastAsia="仿宋" w:cs="仿宋"/>
          <w:i w:val="0"/>
          <w:caps w:val="0"/>
          <w:color w:val="2B2B2B"/>
          <w:spacing w:val="0"/>
          <w:sz w:val="32"/>
          <w:szCs w:val="32"/>
          <w:shd w:val="clear" w:fill="FFFFFF"/>
        </w:rPr>
        <w:t>决算数</w:t>
      </w:r>
      <w:r>
        <w:rPr>
          <w:rFonts w:hint="eastAsia" w:ascii="仿宋" w:hAnsi="仿宋" w:eastAsia="仿宋" w:cs="仿宋"/>
          <w:i w:val="0"/>
          <w:caps w:val="0"/>
          <w:color w:val="2B2B2B"/>
          <w:spacing w:val="0"/>
          <w:sz w:val="32"/>
          <w:szCs w:val="32"/>
          <w:shd w:val="clear" w:fill="FFFFFF"/>
          <w:lang w:eastAsia="zh-CN"/>
        </w:rPr>
        <w:t>总体</w:t>
      </w:r>
      <w:r>
        <w:rPr>
          <w:rFonts w:hint="eastAsia" w:ascii="仿宋" w:hAnsi="仿宋" w:eastAsia="仿宋" w:cs="仿宋"/>
          <w:i w:val="0"/>
          <w:caps w:val="0"/>
          <w:color w:val="2B2B2B"/>
          <w:spacing w:val="0"/>
          <w:sz w:val="32"/>
          <w:szCs w:val="32"/>
          <w:shd w:val="clear" w:fill="FFFFFF"/>
        </w:rPr>
        <w:t>下降</w:t>
      </w:r>
      <w:r>
        <w:rPr>
          <w:rFonts w:hint="eastAsia" w:ascii="仿宋" w:hAnsi="仿宋" w:eastAsia="仿宋" w:cs="仿宋"/>
          <w:i w:val="0"/>
          <w:caps w:val="0"/>
          <w:color w:val="2B2B2B"/>
          <w:spacing w:val="0"/>
          <w:sz w:val="32"/>
          <w:szCs w:val="32"/>
          <w:shd w:val="clear" w:fill="FFFFFF"/>
          <w:lang w:val="en-US" w:eastAsia="zh-CN"/>
        </w:rPr>
        <w:t>0.11</w:t>
      </w:r>
      <w:r>
        <w:rPr>
          <w:rFonts w:hint="eastAsia" w:ascii="仿宋" w:hAnsi="仿宋" w:eastAsia="仿宋" w:cs="仿宋"/>
          <w:i w:val="0"/>
          <w:caps w:val="0"/>
          <w:color w:val="2B2B2B"/>
          <w:spacing w:val="0"/>
          <w:sz w:val="32"/>
          <w:szCs w:val="32"/>
          <w:shd w:val="clear" w:fill="FFFFFF"/>
        </w:rPr>
        <w:t>%</w:t>
      </w:r>
      <w:r>
        <w:rPr>
          <w:rFonts w:hint="eastAsia" w:ascii="仿宋" w:hAnsi="仿宋" w:eastAsia="仿宋" w:cs="仿宋"/>
          <w:i w:val="0"/>
          <w:caps w:val="0"/>
          <w:color w:val="2B2B2B"/>
          <w:spacing w:val="0"/>
          <w:sz w:val="32"/>
          <w:szCs w:val="32"/>
          <w:shd w:val="clear" w:fill="FFFFFF"/>
          <w:lang w:eastAsia="zh-CN"/>
        </w:rPr>
        <w:t>。</w:t>
      </w:r>
      <w:r>
        <w:rPr>
          <w:rFonts w:hint="eastAsia" w:ascii="仿宋" w:hAnsi="仿宋" w:eastAsia="仿宋" w:cs="仿宋"/>
          <w:i w:val="0"/>
          <w:caps w:val="0"/>
          <w:color w:val="2B2B2B"/>
          <w:spacing w:val="0"/>
          <w:sz w:val="32"/>
          <w:szCs w:val="32"/>
          <w:shd w:val="clear" w:fill="FFFFFF"/>
        </w:rPr>
        <w:t>其中：因公出国(境)费0万元；公务用车运行维护费</w:t>
      </w:r>
      <w:r>
        <w:rPr>
          <w:rFonts w:hint="eastAsia" w:ascii="仿宋" w:hAnsi="仿宋" w:eastAsia="仿宋" w:cs="仿宋"/>
          <w:i w:val="0"/>
          <w:caps w:val="0"/>
          <w:color w:val="2B2B2B"/>
          <w:spacing w:val="0"/>
          <w:sz w:val="32"/>
          <w:szCs w:val="32"/>
          <w:shd w:val="clear" w:fill="FFFFFF"/>
          <w:lang w:val="en-US" w:eastAsia="zh-CN"/>
        </w:rPr>
        <w:t>241.35</w:t>
      </w:r>
      <w:r>
        <w:rPr>
          <w:rFonts w:hint="eastAsia" w:ascii="仿宋" w:hAnsi="仿宋" w:eastAsia="仿宋" w:cs="仿宋"/>
          <w:i w:val="0"/>
          <w:caps w:val="0"/>
          <w:color w:val="2B2B2B"/>
          <w:spacing w:val="0"/>
          <w:sz w:val="32"/>
          <w:szCs w:val="32"/>
          <w:shd w:val="clear" w:fill="FFFFFF"/>
        </w:rPr>
        <w:t>万元，较上年</w:t>
      </w:r>
      <w:r>
        <w:rPr>
          <w:rFonts w:hint="eastAsia" w:ascii="仿宋" w:hAnsi="仿宋" w:eastAsia="仿宋" w:cs="仿宋"/>
          <w:i w:val="0"/>
          <w:caps w:val="0"/>
          <w:color w:val="2B2B2B"/>
          <w:spacing w:val="0"/>
          <w:sz w:val="32"/>
          <w:szCs w:val="32"/>
          <w:shd w:val="clear" w:fill="FFFFFF"/>
          <w:lang w:val="en-US" w:eastAsia="zh-CN"/>
        </w:rPr>
        <w:t>预算数增长4.09%，较上年决算数增长0.2%</w:t>
      </w:r>
      <w:r>
        <w:rPr>
          <w:rFonts w:hint="eastAsia" w:ascii="仿宋" w:hAnsi="仿宋" w:eastAsia="仿宋" w:cs="仿宋"/>
          <w:i w:val="0"/>
          <w:caps w:val="0"/>
          <w:color w:val="2B2B2B"/>
          <w:spacing w:val="0"/>
          <w:sz w:val="32"/>
          <w:szCs w:val="32"/>
          <w:shd w:val="clear" w:fill="FFFFFF"/>
        </w:rPr>
        <w:t>；公务接待费</w:t>
      </w:r>
      <w:r>
        <w:rPr>
          <w:rFonts w:hint="eastAsia" w:ascii="仿宋" w:hAnsi="仿宋" w:eastAsia="仿宋" w:cs="仿宋"/>
          <w:i w:val="0"/>
          <w:caps w:val="0"/>
          <w:color w:val="2B2B2B"/>
          <w:spacing w:val="0"/>
          <w:sz w:val="32"/>
          <w:szCs w:val="32"/>
          <w:shd w:val="clear" w:fill="FFFFFF"/>
          <w:lang w:val="en-US" w:eastAsia="zh-CN"/>
        </w:rPr>
        <w:t>40.27</w:t>
      </w:r>
      <w:r>
        <w:rPr>
          <w:rFonts w:hint="eastAsia" w:ascii="仿宋" w:hAnsi="仿宋" w:eastAsia="仿宋" w:cs="仿宋"/>
          <w:i w:val="0"/>
          <w:caps w:val="0"/>
          <w:color w:val="2B2B2B"/>
          <w:spacing w:val="0"/>
          <w:sz w:val="32"/>
          <w:szCs w:val="32"/>
          <w:shd w:val="clear" w:fill="FFFFFF"/>
        </w:rPr>
        <w:t>万元，较上年</w:t>
      </w:r>
      <w:r>
        <w:rPr>
          <w:rFonts w:hint="eastAsia" w:ascii="仿宋" w:hAnsi="仿宋" w:eastAsia="仿宋" w:cs="仿宋"/>
          <w:i w:val="0"/>
          <w:caps w:val="0"/>
          <w:color w:val="2B2B2B"/>
          <w:spacing w:val="0"/>
          <w:sz w:val="32"/>
          <w:szCs w:val="32"/>
          <w:shd w:val="clear" w:fill="FFFFFF"/>
          <w:lang w:val="en-US" w:eastAsia="zh-CN"/>
        </w:rPr>
        <w:t>预算数下降19.46%，较上年</w:t>
      </w:r>
      <w:r>
        <w:rPr>
          <w:rFonts w:hint="eastAsia" w:ascii="仿宋" w:hAnsi="仿宋" w:eastAsia="仿宋" w:cs="仿宋"/>
          <w:i w:val="0"/>
          <w:caps w:val="0"/>
          <w:color w:val="2B2B2B"/>
          <w:spacing w:val="0"/>
          <w:sz w:val="32"/>
          <w:szCs w:val="32"/>
          <w:shd w:val="clear" w:fill="FFFFFF"/>
        </w:rPr>
        <w:t>决算数</w:t>
      </w:r>
      <w:r>
        <w:rPr>
          <w:rFonts w:hint="eastAsia" w:ascii="仿宋" w:hAnsi="仿宋" w:eastAsia="仿宋" w:cs="仿宋"/>
          <w:i w:val="0"/>
          <w:caps w:val="0"/>
          <w:color w:val="2B2B2B"/>
          <w:spacing w:val="0"/>
          <w:sz w:val="32"/>
          <w:szCs w:val="32"/>
          <w:shd w:val="clear" w:fill="FFFFFF"/>
          <w:lang w:val="en-US" w:eastAsia="zh-CN"/>
        </w:rPr>
        <w:t>增长0.03</w:t>
      </w:r>
      <w:r>
        <w:rPr>
          <w:rFonts w:hint="eastAsia" w:ascii="仿宋" w:hAnsi="仿宋" w:eastAsia="仿宋" w:cs="仿宋"/>
          <w:i w:val="0"/>
          <w:caps w:val="0"/>
          <w:color w:val="2B2B2B"/>
          <w:spacing w:val="0"/>
          <w:sz w:val="32"/>
          <w:szCs w:val="32"/>
          <w:shd w:val="clear" w:fill="FFFFFF"/>
        </w:rPr>
        <w:t> %</w:t>
      </w:r>
      <w:r>
        <w:rPr>
          <w:rFonts w:hint="eastAsia" w:ascii="仿宋" w:hAnsi="仿宋" w:eastAsia="仿宋" w:cs="仿宋"/>
          <w:i w:val="0"/>
          <w:caps w:val="0"/>
          <w:color w:val="2B2B2B"/>
          <w:spacing w:val="0"/>
          <w:sz w:val="32"/>
          <w:szCs w:val="32"/>
          <w:shd w:val="clear" w:fill="FFFFFF"/>
          <w:lang w:eastAsia="zh-CN"/>
        </w:rPr>
        <w:t>。从预算总体</w:t>
      </w:r>
      <w:r>
        <w:rPr>
          <w:rFonts w:hint="eastAsia" w:ascii="仿宋" w:hAnsi="仿宋" w:eastAsia="仿宋" w:cs="仿宋"/>
          <w:i w:val="0"/>
          <w:caps w:val="0"/>
          <w:color w:val="2B2B2B"/>
          <w:spacing w:val="0"/>
          <w:sz w:val="32"/>
          <w:szCs w:val="32"/>
          <w:shd w:val="clear" w:fill="FFFFFF"/>
          <w:lang w:val="en-US" w:eastAsia="zh-CN"/>
        </w:rPr>
        <w:t>情况</w:t>
      </w:r>
      <w:r>
        <w:rPr>
          <w:rFonts w:hint="eastAsia" w:ascii="仿宋" w:hAnsi="仿宋" w:eastAsia="仿宋" w:cs="仿宋"/>
          <w:i w:val="0"/>
          <w:caps w:val="0"/>
          <w:color w:val="2B2B2B"/>
          <w:spacing w:val="0"/>
          <w:sz w:val="32"/>
          <w:szCs w:val="32"/>
          <w:shd w:val="clear" w:fill="FFFFFF"/>
          <w:lang w:eastAsia="zh-CN"/>
        </w:rPr>
        <w:t>来看全县“三公”经费预算</w:t>
      </w:r>
      <w:r>
        <w:rPr>
          <w:rFonts w:hint="eastAsia" w:ascii="仿宋" w:hAnsi="仿宋" w:eastAsia="仿宋" w:cs="仿宋"/>
          <w:i w:val="0"/>
          <w:caps w:val="0"/>
          <w:color w:val="2B2B2B"/>
          <w:spacing w:val="0"/>
          <w:sz w:val="32"/>
          <w:szCs w:val="32"/>
          <w:shd w:val="clear" w:fill="FFFFFF"/>
          <w:lang w:val="en-US" w:eastAsia="zh-CN"/>
        </w:rPr>
        <w:t>呈</w:t>
      </w:r>
      <w:r>
        <w:rPr>
          <w:rFonts w:hint="eastAsia" w:ascii="仿宋" w:hAnsi="仿宋" w:eastAsia="仿宋" w:cs="仿宋"/>
          <w:i w:val="0"/>
          <w:caps w:val="0"/>
          <w:color w:val="2B2B2B"/>
          <w:spacing w:val="0"/>
          <w:sz w:val="32"/>
          <w:szCs w:val="32"/>
          <w:shd w:val="clear" w:fill="FFFFFF"/>
          <w:lang w:eastAsia="zh-CN"/>
        </w:rPr>
        <w:t>下降趋势。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center"/>
        <w:textAlignment w:val="auto"/>
        <w:rPr>
          <w:rFonts w:hint="eastAsia" w:ascii="仿宋" w:hAnsi="仿宋" w:eastAsia="仿宋" w:cs="仿宋"/>
          <w:i w:val="0"/>
          <w:caps w:val="0"/>
          <w:color w:val="2B2B2B"/>
          <w:spacing w:val="0"/>
          <w:sz w:val="32"/>
          <w:szCs w:val="32"/>
          <w:shd w:val="clear" w:fill="FFFFFF"/>
          <w:lang w:eastAsia="zh-CN"/>
        </w:rPr>
      </w:pPr>
      <w:r>
        <w:rPr>
          <w:rFonts w:hint="eastAsia" w:ascii="仿宋" w:hAnsi="仿宋" w:eastAsia="仿宋" w:cs="仿宋"/>
          <w:i w:val="0"/>
          <w:caps w:val="0"/>
          <w:color w:val="2B2B2B"/>
          <w:spacing w:val="0"/>
          <w:sz w:val="32"/>
          <w:szCs w:val="32"/>
          <w:shd w:val="clear" w:fill="FFFFFF"/>
          <w:lang w:eastAsia="zh-CN"/>
        </w:rPr>
        <w:t>太白县2021年“三公经费”预算汇总表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center"/>
        <w:textAlignment w:val="auto"/>
        <w:rPr>
          <w:rFonts w:hint="eastAsia" w:ascii="仿宋" w:hAnsi="仿宋" w:eastAsia="仿宋" w:cs="仿宋"/>
          <w:i w:val="0"/>
          <w:caps w:val="0"/>
          <w:color w:val="2B2B2B"/>
          <w:spacing w:val="0"/>
          <w:sz w:val="32"/>
          <w:szCs w:val="32"/>
          <w:shd w:val="clear" w:fill="FFFFFF"/>
          <w:lang w:eastAsia="zh-CN"/>
        </w:rPr>
      </w:pPr>
      <w:r>
        <w:rPr>
          <w:rFonts w:hint="eastAsia" w:ascii="仿宋" w:hAnsi="仿宋" w:eastAsia="仿宋" w:cs="仿宋"/>
          <w:i w:val="0"/>
          <w:caps w:val="0"/>
          <w:color w:val="2B2B2B"/>
          <w:spacing w:val="0"/>
          <w:sz w:val="32"/>
          <w:szCs w:val="32"/>
          <w:shd w:val="clear" w:fill="FFFFFF"/>
          <w:lang w:val="en-US" w:eastAsia="zh-CN"/>
        </w:rPr>
        <w:t xml:space="preserve">                                     </w:t>
      </w:r>
      <w:r>
        <w:rPr>
          <w:rFonts w:hint="eastAsia" w:ascii="仿宋" w:hAnsi="仿宋" w:eastAsia="仿宋" w:cs="仿宋"/>
          <w:i w:val="0"/>
          <w:caps w:val="0"/>
          <w:color w:val="2B2B2B"/>
          <w:spacing w:val="0"/>
          <w:sz w:val="32"/>
          <w:szCs w:val="32"/>
          <w:shd w:val="clear" w:fill="FFFFFF"/>
          <w:lang w:eastAsia="zh-CN"/>
        </w:rPr>
        <w:t>单位：万元</w:t>
      </w:r>
    </w:p>
    <w:tbl>
      <w:tblPr>
        <w:tblStyle w:val="5"/>
        <w:tblW w:w="11565" w:type="dxa"/>
        <w:jc w:val="center"/>
        <w:shd w:val="clear" w:color="auto" w:fill="auto"/>
        <w:tblLayout w:type="autofit"/>
        <w:tblCellMar>
          <w:top w:w="0" w:type="dxa"/>
          <w:left w:w="108" w:type="dxa"/>
          <w:bottom w:w="0" w:type="dxa"/>
          <w:right w:w="108" w:type="dxa"/>
        </w:tblCellMar>
      </w:tblPr>
      <w:tblGrid>
        <w:gridCol w:w="830"/>
        <w:gridCol w:w="2467"/>
        <w:gridCol w:w="1754"/>
        <w:gridCol w:w="1663"/>
        <w:gridCol w:w="1244"/>
        <w:gridCol w:w="1769"/>
        <w:gridCol w:w="1838"/>
      </w:tblGrid>
      <w:tr>
        <w:tblPrEx>
          <w:shd w:val="clear" w:color="auto" w:fill="auto"/>
          <w:tblCellMar>
            <w:top w:w="0" w:type="dxa"/>
            <w:left w:w="108" w:type="dxa"/>
            <w:bottom w:w="0" w:type="dxa"/>
            <w:right w:w="108" w:type="dxa"/>
          </w:tblCellMar>
        </w:tblPrEx>
        <w:trPr>
          <w:trHeight w:val="1380"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2020年预算数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2020年决算数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2021年预算数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2021年预算与2020年预算对比增减（%）</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2021年预算与2020年决算对比增减（%）</w:t>
            </w:r>
          </w:p>
        </w:tc>
      </w:tr>
      <w:tr>
        <w:tblPrEx>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shd w:val="clear" w:color="auto" w:fill="auto"/>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0.20 </w:t>
            </w:r>
          </w:p>
        </w:tc>
      </w:tr>
      <w:tr>
        <w:tblPrEx>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0.03 </w:t>
            </w:r>
          </w:p>
        </w:tc>
      </w:tr>
      <w:tr>
        <w:tblPrEx>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-0.11 </w:t>
            </w:r>
          </w:p>
        </w:tc>
      </w:tr>
    </w:tbl>
    <w:p>
      <w:pPr>
        <w:ind w:firstLine="640" w:firstLineChars="200"/>
        <w:jc w:val="left"/>
        <w:rPr>
          <w:rFonts w:hint="eastAsia" w:ascii="方正小标宋简体" w:hAnsi="方正小标宋简体" w:eastAsia="方正小标宋简体" w:cs="方正小标宋简体"/>
          <w:i w:val="0"/>
          <w:caps w:val="0"/>
          <w:color w:val="2B2B2B"/>
          <w:spacing w:val="0"/>
          <w:kern w:val="0"/>
          <w:sz w:val="32"/>
          <w:szCs w:val="32"/>
          <w:shd w:val="clear" w:fill="FFFFFF"/>
          <w:lang w:val="en-US" w:eastAsia="zh-CN" w:bidi="ar"/>
        </w:rPr>
      </w:pPr>
    </w:p>
    <w:p>
      <w:pPr>
        <w:numPr>
          <w:ilvl w:val="0"/>
          <w:numId w:val="1"/>
        </w:numPr>
        <w:ind w:firstLine="640" w:firstLineChars="200"/>
        <w:jc w:val="left"/>
        <w:rPr>
          <w:rFonts w:hint="eastAsia" w:ascii="仿宋" w:hAnsi="仿宋" w:eastAsia="仿宋" w:cs="仿宋"/>
          <w:i w:val="0"/>
          <w:caps w:val="0"/>
          <w:color w:val="2B2B2B"/>
          <w:spacing w:val="0"/>
          <w:kern w:val="0"/>
          <w:sz w:val="32"/>
          <w:szCs w:val="32"/>
          <w:shd w:val="clear" w:fill="FFFFFF"/>
          <w:lang w:val="en-US" w:eastAsia="zh-CN" w:bidi="ar"/>
        </w:rPr>
      </w:pPr>
      <w:r>
        <w:rPr>
          <w:rFonts w:hint="eastAsia" w:ascii="方正小标宋简体" w:hAnsi="方正小标宋简体" w:eastAsia="方正小标宋简体" w:cs="方正小标宋简体"/>
          <w:i w:val="0"/>
          <w:caps w:val="0"/>
          <w:color w:val="2B2B2B"/>
          <w:spacing w:val="0"/>
          <w:kern w:val="0"/>
          <w:sz w:val="32"/>
          <w:szCs w:val="32"/>
          <w:shd w:val="clear" w:fill="FFFFFF"/>
          <w:lang w:val="en-US" w:eastAsia="zh-CN" w:bidi="ar"/>
        </w:rPr>
        <w:t>太白县2021年转移支付预算情况。</w:t>
      </w:r>
      <w:r>
        <w:rPr>
          <w:rFonts w:hint="eastAsia" w:ascii="仿宋" w:hAnsi="仿宋" w:eastAsia="仿宋" w:cs="仿宋"/>
          <w:i w:val="0"/>
          <w:caps w:val="0"/>
          <w:color w:val="2B2B2B"/>
          <w:spacing w:val="0"/>
          <w:kern w:val="0"/>
          <w:sz w:val="32"/>
          <w:szCs w:val="32"/>
          <w:shd w:val="clear" w:fill="FFFFFF"/>
          <w:lang w:val="en-US" w:eastAsia="zh-CN" w:bidi="ar"/>
        </w:rPr>
        <w:t>截止2021年1月13日，中省市提前下达我县2021年转移支付资金80120万元。其中，一般性转移支付44920万元，专项转移支付35200万元。本年度提前下达数较2020年提前下达数增加1783万元，增加的主要是均衡性转移支付、县级基本财力保障和生态功能区转移支付。</w:t>
      </w:r>
    </w:p>
    <w:p>
      <w:pPr>
        <w:numPr>
          <w:ilvl w:val="0"/>
          <w:numId w:val="1"/>
        </w:numPr>
        <w:ind w:firstLine="640" w:firstLineChars="200"/>
        <w:jc w:val="left"/>
        <w:rPr>
          <w:rFonts w:hint="default" w:ascii="仿宋" w:hAnsi="仿宋" w:eastAsia="仿宋" w:cs="仿宋"/>
          <w:i w:val="0"/>
          <w:caps w:val="0"/>
          <w:color w:val="2B2B2B"/>
          <w:spacing w:val="0"/>
          <w:kern w:val="0"/>
          <w:sz w:val="32"/>
          <w:szCs w:val="32"/>
          <w:shd w:val="clear" w:fill="FFFFFF"/>
          <w:lang w:val="en-US" w:eastAsia="zh-CN" w:bidi="ar"/>
        </w:rPr>
      </w:pPr>
      <w:r>
        <w:rPr>
          <w:rFonts w:hint="eastAsia" w:ascii="方正小标宋简体" w:hAnsi="方正小标宋简体" w:eastAsia="方正小标宋简体" w:cs="方正小标宋简体"/>
          <w:i w:val="0"/>
          <w:caps w:val="0"/>
          <w:color w:val="2B2B2B"/>
          <w:spacing w:val="0"/>
          <w:kern w:val="0"/>
          <w:sz w:val="32"/>
          <w:szCs w:val="32"/>
          <w:shd w:val="clear" w:fill="FFFFFF"/>
          <w:lang w:val="en-US" w:eastAsia="zh-CN" w:bidi="ar"/>
        </w:rPr>
        <w:t>太白县预算绩效管理工作情况说明。</w:t>
      </w:r>
      <w:r>
        <w:rPr>
          <w:rFonts w:hint="eastAsia" w:ascii="仿宋" w:hAnsi="仿宋" w:eastAsia="仿宋" w:cs="仿宋"/>
          <w:i w:val="0"/>
          <w:caps w:val="0"/>
          <w:color w:val="2B2B2B"/>
          <w:spacing w:val="0"/>
          <w:kern w:val="0"/>
          <w:sz w:val="32"/>
          <w:szCs w:val="32"/>
          <w:shd w:val="clear" w:fill="FFFFFF"/>
          <w:lang w:val="en-US" w:eastAsia="zh-CN" w:bidi="ar"/>
        </w:rPr>
        <w:t>绩效管理改革是财政改革工作的重点和亮点，为了贯彻落实《中共中央、国务院关于全面实施预算绩 效管理的意见》（中发[2018]34号）和财政部《关于贯彻落实中共中央国务院关于全面实施预算绩效管理的意见的通知》（财预[2018]167号）等文件精神，近年来我县严格落实中央“全面实施绩效管理”的要求，加强预算绩效管理制度建设，硬化预算绩效责任约束，预算绩效评价范围不断扩大，预算管理水平显著提高。太白县从2013年开始，按照“统一组织、分级实施、先易后难、由点及面”的原则陆续对县级部分部门及项目开展了绩效评价，经过7年的逐步探索，到2018年，实现绩效目标全覆盖。</w:t>
      </w:r>
      <w:r>
        <w:rPr>
          <w:rFonts w:hint="eastAsia" w:ascii="仿宋" w:hAnsi="仿宋" w:eastAsia="仿宋" w:cs="仿宋"/>
          <w:b/>
          <w:bCs/>
          <w:i w:val="0"/>
          <w:caps w:val="0"/>
          <w:color w:val="2B2B2B"/>
          <w:spacing w:val="0"/>
          <w:kern w:val="0"/>
          <w:sz w:val="32"/>
          <w:szCs w:val="32"/>
          <w:shd w:val="clear" w:fill="FFFFFF"/>
          <w:lang w:val="en-US" w:eastAsia="zh-CN" w:bidi="ar"/>
        </w:rPr>
        <w:t>一是</w:t>
      </w:r>
      <w:r>
        <w:rPr>
          <w:rFonts w:hint="eastAsia" w:ascii="仿宋" w:hAnsi="仿宋" w:eastAsia="仿宋" w:cs="仿宋"/>
          <w:i w:val="0"/>
          <w:caps w:val="0"/>
          <w:color w:val="2B2B2B"/>
          <w:spacing w:val="0"/>
          <w:kern w:val="0"/>
          <w:sz w:val="32"/>
          <w:szCs w:val="32"/>
          <w:shd w:val="clear" w:fill="FFFFFF"/>
          <w:lang w:val="en-US" w:eastAsia="zh-CN" w:bidi="ar"/>
        </w:rPr>
        <w:t>强化绩效目标编制。按照“谁申请资金，谁编制绩效目标”的要求，2021年，部门整体支出、专项业务经费和专项资金全部编制绩效目标，没有编报绩效目标的，一律不安排预算。财政部门进行全面评审。</w:t>
      </w:r>
      <w:r>
        <w:rPr>
          <w:rFonts w:hint="eastAsia" w:ascii="仿宋" w:hAnsi="仿宋" w:eastAsia="仿宋" w:cs="仿宋"/>
          <w:b/>
          <w:bCs/>
          <w:i w:val="0"/>
          <w:caps w:val="0"/>
          <w:color w:val="2B2B2B"/>
          <w:spacing w:val="0"/>
          <w:kern w:val="0"/>
          <w:sz w:val="32"/>
          <w:szCs w:val="32"/>
          <w:shd w:val="clear" w:fill="FFFFFF"/>
          <w:lang w:val="en-US" w:eastAsia="zh-CN" w:bidi="ar"/>
        </w:rPr>
        <w:t>二是</w:t>
      </w:r>
      <w:r>
        <w:rPr>
          <w:rFonts w:hint="eastAsia" w:ascii="仿宋" w:hAnsi="仿宋" w:eastAsia="仿宋" w:cs="仿宋"/>
          <w:i w:val="0"/>
          <w:caps w:val="0"/>
          <w:color w:val="2B2B2B"/>
          <w:spacing w:val="0"/>
          <w:kern w:val="0"/>
          <w:sz w:val="32"/>
          <w:szCs w:val="32"/>
          <w:shd w:val="clear" w:fill="FFFFFF"/>
          <w:lang w:val="en-US" w:eastAsia="zh-CN" w:bidi="ar"/>
        </w:rPr>
        <w:t>严格执行绩效运行监控。各部门（单位）按照“谁支出、谁负责”的原则，对绩效目标实现程度和预算执行进度实行“双监控”，财政部门建立重大政策、项目绩效跟踪机制，发现偏离目标等问题及时纠偏，存在严重问题暂缓或停止预算拨款，确保绩效目标如期保质保量实现。</w:t>
      </w:r>
      <w:r>
        <w:rPr>
          <w:rFonts w:hint="eastAsia" w:ascii="仿宋" w:hAnsi="仿宋" w:eastAsia="仿宋" w:cs="仿宋"/>
          <w:b/>
          <w:bCs/>
          <w:i w:val="0"/>
          <w:caps w:val="0"/>
          <w:color w:val="2B2B2B"/>
          <w:spacing w:val="0"/>
          <w:kern w:val="0"/>
          <w:sz w:val="32"/>
          <w:szCs w:val="32"/>
          <w:shd w:val="clear" w:fill="FFFFFF"/>
          <w:lang w:val="en-US" w:eastAsia="zh-CN" w:bidi="ar"/>
        </w:rPr>
        <w:t>三是</w:t>
      </w:r>
      <w:r>
        <w:rPr>
          <w:rFonts w:hint="eastAsia" w:ascii="仿宋" w:hAnsi="仿宋" w:eastAsia="仿宋" w:cs="仿宋"/>
          <w:i w:val="0"/>
          <w:caps w:val="0"/>
          <w:color w:val="2B2B2B"/>
          <w:spacing w:val="0"/>
          <w:kern w:val="0"/>
          <w:sz w:val="32"/>
          <w:szCs w:val="32"/>
          <w:shd w:val="clear" w:fill="FFFFFF"/>
          <w:lang w:val="en-US" w:eastAsia="zh-CN" w:bidi="ar"/>
        </w:rPr>
        <w:t>深入开展绩效评价。各部门（单位）对预算执行情况以及政策、项目实施效果全面开展绩效自评；每年选择社会各界关注、与经济社会密切相关的民生支出项目开展重点评价；必要时引入第三方机构开展绩效评价工作，提高绩效评价结果的客观性、独立性和公正性，2019-2020年委托第三方评审公司对财政扶贫资金进行绩效评价。</w:t>
      </w:r>
      <w:r>
        <w:rPr>
          <w:rFonts w:hint="eastAsia" w:ascii="仿宋" w:hAnsi="仿宋" w:eastAsia="仿宋" w:cs="仿宋"/>
          <w:b/>
          <w:bCs/>
          <w:i w:val="0"/>
          <w:caps w:val="0"/>
          <w:color w:val="2B2B2B"/>
          <w:spacing w:val="0"/>
          <w:kern w:val="0"/>
          <w:sz w:val="32"/>
          <w:szCs w:val="32"/>
          <w:shd w:val="clear" w:fill="FFFFFF"/>
          <w:lang w:val="en-US" w:eastAsia="zh-CN" w:bidi="ar"/>
        </w:rPr>
        <w:t>四是</w:t>
      </w:r>
      <w:r>
        <w:rPr>
          <w:rFonts w:hint="eastAsia" w:ascii="仿宋" w:hAnsi="仿宋" w:eastAsia="仿宋" w:cs="仿宋"/>
          <w:i w:val="0"/>
          <w:caps w:val="0"/>
          <w:color w:val="2B2B2B"/>
          <w:spacing w:val="0"/>
          <w:kern w:val="0"/>
          <w:sz w:val="32"/>
          <w:szCs w:val="32"/>
          <w:shd w:val="clear" w:fill="FFFFFF"/>
          <w:lang w:val="en-US" w:eastAsia="zh-CN" w:bidi="ar"/>
        </w:rPr>
        <w:t>成立预算绩效管理机构。根据《太白县承担行政职能事业单位改革方案》和《市委编办关于太白县事业单位调整规范的批复》要求，成立太白县财政预算评审中心，为正科级全额事业单位，公益一类，编制11人，目前正常开展工作。</w:t>
      </w:r>
    </w:p>
    <w:p>
      <w:pPr>
        <w:numPr>
          <w:ilvl w:val="0"/>
          <w:numId w:val="1"/>
        </w:numPr>
        <w:ind w:firstLine="640" w:firstLineChars="200"/>
        <w:jc w:val="left"/>
        <w:rPr>
          <w:rFonts w:hint="eastAsia" w:ascii="仿宋" w:hAnsi="仿宋" w:eastAsia="仿宋" w:cs="仿宋"/>
          <w:i w:val="0"/>
          <w:caps w:val="0"/>
          <w:color w:val="2B2B2B"/>
          <w:spacing w:val="0"/>
          <w:kern w:val="0"/>
          <w:sz w:val="32"/>
          <w:szCs w:val="32"/>
          <w:shd w:val="clear" w:fill="FFFFFF"/>
          <w:lang w:val="en-US" w:eastAsia="zh-CN" w:bidi="ar"/>
        </w:rPr>
      </w:pPr>
      <w:r>
        <w:rPr>
          <w:rFonts w:hint="eastAsia" w:ascii="方正小标宋简体" w:hAnsi="方正小标宋简体" w:eastAsia="方正小标宋简体" w:cs="方正小标宋简体"/>
          <w:i w:val="0"/>
          <w:caps w:val="0"/>
          <w:color w:val="2B2B2B"/>
          <w:spacing w:val="0"/>
          <w:kern w:val="0"/>
          <w:sz w:val="32"/>
          <w:szCs w:val="32"/>
          <w:shd w:val="clear" w:fill="FFFFFF"/>
          <w:lang w:val="en-US" w:eastAsia="zh-CN" w:bidi="ar"/>
        </w:rPr>
        <w:t>太白县政府债务情况说明。</w:t>
      </w:r>
      <w:r>
        <w:rPr>
          <w:rFonts w:hint="eastAsia" w:ascii="仿宋" w:hAnsi="仿宋" w:eastAsia="仿宋" w:cs="仿宋"/>
          <w:i w:val="0"/>
          <w:caps w:val="0"/>
          <w:color w:val="2B2B2B"/>
          <w:spacing w:val="0"/>
          <w:kern w:val="0"/>
          <w:sz w:val="32"/>
          <w:szCs w:val="32"/>
          <w:shd w:val="clear" w:fill="FFFFFF"/>
          <w:lang w:val="en-US" w:eastAsia="zh-CN" w:bidi="ar"/>
        </w:rPr>
        <w:t>2020年，我县地方政府一般债务限额40733万元，余额35007万元。专项债务限额11200万元，余额11200万元。债务风险总体可控。</w:t>
      </w:r>
    </w:p>
    <w:p>
      <w:pPr>
        <w:numPr>
          <w:ilvl w:val="0"/>
          <w:numId w:val="1"/>
        </w:numPr>
        <w:ind w:firstLine="640" w:firstLineChars="200"/>
        <w:jc w:val="left"/>
        <w:rPr>
          <w:rFonts w:hint="eastAsia" w:ascii="仿宋" w:hAnsi="仿宋" w:eastAsia="仿宋" w:cs="仿宋"/>
          <w:i w:val="0"/>
          <w:caps w:val="0"/>
          <w:color w:val="2B2B2B"/>
          <w:spacing w:val="0"/>
          <w:kern w:val="0"/>
          <w:sz w:val="32"/>
          <w:szCs w:val="32"/>
          <w:shd w:val="clear" w:fill="FFFFFF"/>
          <w:lang w:val="en-US" w:eastAsia="zh-CN" w:bidi="ar"/>
        </w:rPr>
      </w:pPr>
      <w:r>
        <w:rPr>
          <w:rFonts w:hint="eastAsia" w:ascii="方正小标宋简体" w:hAnsi="方正小标宋简体" w:eastAsia="方正小标宋简体" w:cs="方正小标宋简体"/>
          <w:i w:val="0"/>
          <w:caps w:val="0"/>
          <w:color w:val="2B2B2B"/>
          <w:spacing w:val="0"/>
          <w:kern w:val="0"/>
          <w:sz w:val="32"/>
          <w:szCs w:val="32"/>
          <w:shd w:val="clear" w:fill="FFFFFF"/>
          <w:lang w:val="en-US" w:eastAsia="zh-CN" w:bidi="ar"/>
        </w:rPr>
        <w:t>2021年脱贫攻坚与乡村振兴专项资金安排情况说明。</w:t>
      </w:r>
      <w:r>
        <w:rPr>
          <w:rFonts w:hint="eastAsia" w:ascii="仿宋" w:hAnsi="仿宋" w:eastAsia="仿宋" w:cs="仿宋"/>
          <w:b/>
          <w:bCs/>
          <w:i w:val="0"/>
          <w:caps w:val="0"/>
          <w:color w:val="2B2B2B"/>
          <w:spacing w:val="0"/>
          <w:kern w:val="0"/>
          <w:sz w:val="32"/>
          <w:szCs w:val="32"/>
          <w:shd w:val="clear" w:fill="FFFFFF"/>
          <w:lang w:val="en-US" w:eastAsia="zh-CN" w:bidi="ar"/>
        </w:rPr>
        <w:t>一是</w:t>
      </w:r>
      <w:r>
        <w:rPr>
          <w:rFonts w:hint="eastAsia" w:ascii="仿宋" w:hAnsi="仿宋" w:eastAsia="仿宋" w:cs="仿宋"/>
          <w:i w:val="0"/>
          <w:caps w:val="0"/>
          <w:color w:val="2B2B2B"/>
          <w:spacing w:val="0"/>
          <w:kern w:val="0"/>
          <w:sz w:val="32"/>
          <w:szCs w:val="32"/>
          <w:shd w:val="clear" w:fill="FFFFFF"/>
          <w:lang w:val="en-US" w:eastAsia="zh-CN" w:bidi="ar"/>
        </w:rPr>
        <w:t>2021年，太白县本级财政预算安排脱贫攻坚专项资金1800万元，具体为：1.县级财政专项资金1350万元。2.扶贫项目管理费100万元。3.乡镇第一书记和驻村工作队经费81万元。4.农村公厕管护1+7补助资金13.2万元。5.38个农村幸福院1+7运行费38万元。6.农村小型水利工程管护1+7经费21.84万元。7.农村公共文化1+7补助资金8.8万元。8.非贫困户有线电视收视费60万元。9.贫困户有线电视收视费等75万元。10.农村公共基础设施1+7管护费4.4万元。11.2021年村医基本医疗服务（实施基本药物制度）1+7补助县级配套13.8万元。12.其他扶贫资金34.01万元。</w:t>
      </w:r>
    </w:p>
    <w:p>
      <w:pPr>
        <w:numPr>
          <w:ilvl w:val="0"/>
          <w:numId w:val="0"/>
        </w:numPr>
        <w:jc w:val="left"/>
        <w:rPr>
          <w:rFonts w:hint="eastAsia" w:ascii="仿宋" w:hAnsi="仿宋" w:eastAsia="仿宋" w:cs="仿宋"/>
          <w:i w:val="0"/>
          <w:caps w:val="0"/>
          <w:color w:val="2B2B2B"/>
          <w:spacing w:val="0"/>
          <w:kern w:val="0"/>
          <w:sz w:val="32"/>
          <w:szCs w:val="32"/>
          <w:shd w:val="clear" w:fill="FFFFFF"/>
          <w:lang w:val="en-US" w:eastAsia="zh-CN" w:bidi="ar"/>
        </w:rPr>
      </w:pPr>
      <w:r>
        <w:rPr>
          <w:rFonts w:hint="eastAsia" w:ascii="仿宋" w:hAnsi="仿宋" w:eastAsia="仿宋" w:cs="仿宋"/>
          <w:b/>
          <w:bCs/>
          <w:i w:val="0"/>
          <w:caps w:val="0"/>
          <w:color w:val="2B2B2B"/>
          <w:spacing w:val="0"/>
          <w:kern w:val="0"/>
          <w:sz w:val="32"/>
          <w:szCs w:val="32"/>
          <w:shd w:val="clear" w:fill="FFFFFF"/>
          <w:lang w:val="en-US" w:eastAsia="zh-CN" w:bidi="ar"/>
        </w:rPr>
        <w:t>二是</w:t>
      </w:r>
      <w:r>
        <w:rPr>
          <w:rFonts w:hint="eastAsia" w:ascii="仿宋" w:hAnsi="仿宋" w:eastAsia="仿宋" w:cs="仿宋"/>
          <w:i w:val="0"/>
          <w:caps w:val="0"/>
          <w:color w:val="2B2B2B"/>
          <w:spacing w:val="0"/>
          <w:kern w:val="0"/>
          <w:sz w:val="32"/>
          <w:szCs w:val="32"/>
          <w:shd w:val="clear" w:fill="FFFFFF"/>
          <w:lang w:val="en-US" w:eastAsia="zh-CN" w:bidi="ar"/>
        </w:rPr>
        <w:t>2021年，太白县本级财政预算安排乡村振兴资金1800万元，具体如下：1.人居环境整治510万元。2.“百日行动”及乡村振兴490万元。</w:t>
      </w:r>
    </w:p>
    <w:p>
      <w:pPr>
        <w:numPr>
          <w:ilvl w:val="0"/>
          <w:numId w:val="1"/>
        </w:numPr>
        <w:ind w:firstLine="640" w:firstLineChars="200"/>
        <w:jc w:val="left"/>
        <w:rPr>
          <w:rFonts w:hint="eastAsia" w:ascii="方正小标宋简体" w:hAnsi="方正小标宋简体" w:eastAsia="方正小标宋简体" w:cs="方正小标宋简体"/>
          <w:i w:val="0"/>
          <w:caps w:val="0"/>
          <w:color w:val="2B2B2B"/>
          <w:spacing w:val="0"/>
          <w:kern w:val="0"/>
          <w:sz w:val="32"/>
          <w:szCs w:val="32"/>
          <w:shd w:val="clear" w:fill="FFFFFF"/>
          <w:lang w:val="en-US" w:eastAsia="zh-CN" w:bidi="ar"/>
        </w:rPr>
      </w:pPr>
      <w:r>
        <w:rPr>
          <w:rFonts w:hint="eastAsia" w:ascii="方正小标宋简体" w:hAnsi="方正小标宋简体" w:eastAsia="方正小标宋简体" w:cs="方正小标宋简体"/>
          <w:i w:val="0"/>
          <w:caps w:val="0"/>
          <w:color w:val="2B2B2B"/>
          <w:spacing w:val="0"/>
          <w:kern w:val="0"/>
          <w:sz w:val="32"/>
          <w:szCs w:val="32"/>
          <w:shd w:val="clear" w:fill="FFFFFF"/>
          <w:lang w:val="en-US" w:eastAsia="zh-CN" w:bidi="ar"/>
        </w:rPr>
        <w:t>2021年政府预算公开空表情况说明。</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仿宋" w:hAnsi="仿宋" w:eastAsia="仿宋"/>
          <w:color w:val="000000"/>
          <w:sz w:val="32"/>
          <w:szCs w:val="32"/>
          <w:lang w:val="en-US" w:eastAsia="zh-CN"/>
        </w:rPr>
      </w:pPr>
      <w:r>
        <w:rPr>
          <w:rFonts w:hint="eastAsia" w:ascii="黑体" w:hAnsi="黑体" w:eastAsia="黑体" w:cs="黑体"/>
          <w:sz w:val="36"/>
          <w:szCs w:val="36"/>
          <w:lang w:val="en-US" w:eastAsia="zh-CN"/>
        </w:rPr>
        <w:t>1</w:t>
      </w:r>
      <w:r>
        <w:rPr>
          <w:rFonts w:hint="eastAsia" w:ascii="仿宋" w:hAnsi="仿宋" w:eastAsia="仿宋"/>
          <w:b/>
          <w:bCs/>
          <w:color w:val="000000"/>
          <w:sz w:val="32"/>
          <w:szCs w:val="32"/>
          <w:lang w:val="en-US" w:eastAsia="zh-CN"/>
        </w:rPr>
        <w:t>.</w:t>
      </w:r>
      <w:r>
        <w:rPr>
          <w:rFonts w:hint="eastAsia" w:ascii="仿宋" w:hAnsi="仿宋" w:eastAsia="仿宋"/>
          <w:color w:val="000000"/>
          <w:sz w:val="32"/>
          <w:szCs w:val="32"/>
          <w:lang w:val="en-US" w:eastAsia="zh-CN"/>
        </w:rPr>
        <w:t>表20  2021年本地区国有资本经营收入预算表为空表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原因：</w:t>
      </w:r>
      <w:r>
        <w:rPr>
          <w:rFonts w:hint="eastAsia" w:ascii="仿宋" w:hAnsi="仿宋" w:eastAsia="仿宋"/>
          <w:color w:val="000000"/>
          <w:sz w:val="32"/>
          <w:szCs w:val="32"/>
          <w:lang w:val="en-US" w:eastAsia="zh-CN"/>
        </w:rPr>
        <w:t>2021年我县无国有资本经营预算，按照预算公开要求，列示空表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2.</w:t>
      </w:r>
      <w:r>
        <w:rPr>
          <w:rFonts w:hint="eastAsia" w:ascii="仿宋" w:hAnsi="仿宋" w:eastAsia="仿宋"/>
          <w:color w:val="000000"/>
          <w:sz w:val="32"/>
          <w:szCs w:val="32"/>
          <w:lang w:val="en-US" w:eastAsia="zh-CN"/>
        </w:rPr>
        <w:t>表21 2021年本地区国有资本经营支出预算表为空表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 xml:space="preserve"> 原因：</w:t>
      </w:r>
      <w:r>
        <w:rPr>
          <w:rFonts w:hint="eastAsia" w:ascii="仿宋" w:hAnsi="仿宋" w:eastAsia="仿宋"/>
          <w:color w:val="000000"/>
          <w:sz w:val="32"/>
          <w:szCs w:val="32"/>
          <w:lang w:val="en-US" w:eastAsia="zh-CN"/>
        </w:rPr>
        <w:t>2021年我县无国有资本经营预算，按照预算公开要求，列示空表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3．</w:t>
      </w:r>
      <w:r>
        <w:rPr>
          <w:rFonts w:hint="eastAsia" w:ascii="仿宋" w:hAnsi="仿宋" w:eastAsia="仿宋"/>
          <w:color w:val="000000"/>
          <w:sz w:val="32"/>
          <w:szCs w:val="32"/>
          <w:lang w:val="en-US" w:eastAsia="zh-CN"/>
        </w:rPr>
        <w:t>表22 2021年本级国有资本经营收入预算表为空表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 xml:space="preserve"> 原因：</w:t>
      </w:r>
      <w:r>
        <w:rPr>
          <w:rFonts w:hint="eastAsia" w:ascii="仿宋" w:hAnsi="仿宋" w:eastAsia="仿宋"/>
          <w:color w:val="000000"/>
          <w:sz w:val="32"/>
          <w:szCs w:val="32"/>
          <w:lang w:val="en-US" w:eastAsia="zh-CN"/>
        </w:rPr>
        <w:t>2021年我县无国有资本经营预算，按照预算公开要求，列示空表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4．</w:t>
      </w:r>
      <w:r>
        <w:rPr>
          <w:rFonts w:hint="eastAsia" w:ascii="仿宋" w:hAnsi="仿宋" w:eastAsia="仿宋"/>
          <w:color w:val="000000"/>
          <w:sz w:val="32"/>
          <w:szCs w:val="32"/>
          <w:lang w:val="en-US" w:eastAsia="zh-CN"/>
        </w:rPr>
        <w:t>表23 2021年本级国有资本经营支出预算表为空表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 xml:space="preserve"> 原因：</w:t>
      </w:r>
      <w:r>
        <w:rPr>
          <w:rFonts w:hint="eastAsia" w:ascii="仿宋" w:hAnsi="仿宋" w:eastAsia="仿宋"/>
          <w:color w:val="000000"/>
          <w:sz w:val="32"/>
          <w:szCs w:val="32"/>
          <w:lang w:val="en-US" w:eastAsia="zh-CN"/>
        </w:rPr>
        <w:t>2021年我县无国有资本经营预算，按照预算公开要求，列示空表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5.表24 2021年本级国有资本经营预算转移支付分区域预算表为空表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原因：</w:t>
      </w:r>
      <w:r>
        <w:rPr>
          <w:rFonts w:hint="eastAsia" w:ascii="仿宋" w:hAnsi="仿宋" w:eastAsia="仿宋"/>
          <w:color w:val="000000"/>
          <w:sz w:val="32"/>
          <w:szCs w:val="32"/>
          <w:lang w:val="en-US" w:eastAsia="zh-CN"/>
        </w:rPr>
        <w:t>2021年我县无国有资本经营预算，按照预算公开要求，列示空表</w:t>
      </w:r>
    </w:p>
    <w:p>
      <w:pPr>
        <w:numPr>
          <w:ilvl w:val="0"/>
          <w:numId w:val="1"/>
        </w:numPr>
        <w:ind w:firstLine="640" w:firstLineChars="200"/>
        <w:jc w:val="left"/>
        <w:rPr>
          <w:rFonts w:hint="eastAsia" w:ascii="方正小标宋简体" w:hAnsi="方正小标宋简体" w:eastAsia="方正小标宋简体" w:cs="方正小标宋简体"/>
          <w:i w:val="0"/>
          <w:caps w:val="0"/>
          <w:color w:val="2B2B2B"/>
          <w:spacing w:val="0"/>
          <w:kern w:val="0"/>
          <w:sz w:val="32"/>
          <w:szCs w:val="32"/>
          <w:shd w:val="clear" w:fill="FFFFFF"/>
          <w:lang w:val="en-US" w:eastAsia="zh-CN" w:bidi="ar"/>
        </w:rPr>
      </w:pPr>
      <w:bookmarkStart w:id="0" w:name="_GoBack"/>
      <w:r>
        <w:rPr>
          <w:rFonts w:hint="eastAsia" w:ascii="方正小标宋简体" w:hAnsi="方正小标宋简体" w:eastAsia="方正小标宋简体" w:cs="方正小标宋简体"/>
          <w:i w:val="0"/>
          <w:caps w:val="0"/>
          <w:color w:val="2B2B2B"/>
          <w:spacing w:val="0"/>
          <w:kern w:val="0"/>
          <w:sz w:val="32"/>
          <w:szCs w:val="32"/>
          <w:shd w:val="clear" w:fill="FFFFFF"/>
          <w:lang w:val="en-US" w:eastAsia="zh-CN" w:bidi="ar"/>
        </w:rPr>
        <w:t>名 词 解 释</w:t>
      </w:r>
      <w:bookmarkEnd w:id="0"/>
      <w:r>
        <w:rPr>
          <w:rFonts w:hint="eastAsia" w:ascii="方正小标宋简体" w:hAnsi="方正小标宋简体" w:eastAsia="方正小标宋简体" w:cs="方正小标宋简体"/>
          <w:i w:val="0"/>
          <w:caps w:val="0"/>
          <w:color w:val="2B2B2B"/>
          <w:spacing w:val="0"/>
          <w:kern w:val="0"/>
          <w:sz w:val="32"/>
          <w:szCs w:val="32"/>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ind w:right="105" w:rightChars="50" w:firstLine="643" w:firstLineChars="200"/>
        <w:textAlignment w:val="auto"/>
        <w:outlineLvl w:val="9"/>
        <w:rPr>
          <w:rFonts w:hint="default" w:ascii="仿宋_GB2312" w:eastAsia="仿宋_GB2312"/>
          <w:sz w:val="32"/>
          <w:szCs w:val="32"/>
          <w:lang w:val="en-US" w:eastAsia="zh-CN"/>
        </w:rPr>
      </w:pPr>
      <w:r>
        <w:rPr>
          <w:rFonts w:hint="eastAsia" w:ascii="仿宋_GB2312" w:hAnsi="宋体" w:eastAsia="仿宋_GB2312" w:cs="宋体"/>
          <w:b/>
          <w:color w:val="000000"/>
          <w:sz w:val="32"/>
          <w:szCs w:val="32"/>
          <w:lang w:val="en-US" w:eastAsia="zh-CN"/>
        </w:rPr>
        <w:t>1、税收返还。</w:t>
      </w:r>
      <w:r>
        <w:rPr>
          <w:rFonts w:hint="eastAsia" w:ascii="仿宋_GB2312" w:eastAsia="仿宋_GB2312"/>
          <w:sz w:val="32"/>
          <w:szCs w:val="32"/>
          <w:lang w:val="en-US" w:eastAsia="zh-CN"/>
        </w:rPr>
        <w:t>现行中央对地方税收返还包括增值税和消费税返还、所得税基数返还以及成品油税费改革税收返还等。主要是中央实施各项税制改革时，为保证地方既得利益，由中央核定基数和一定增长率，以后年度对地方给予相应税收返还。2018年起，中央将税收返还调整为定额补助。</w:t>
      </w:r>
    </w:p>
    <w:p>
      <w:pPr>
        <w:keepNext w:val="0"/>
        <w:keepLines w:val="0"/>
        <w:pageBreakBefore w:val="0"/>
        <w:widowControl w:val="0"/>
        <w:kinsoku/>
        <w:wordWrap/>
        <w:overflowPunct/>
        <w:topLinePunct w:val="0"/>
        <w:autoSpaceDE/>
        <w:autoSpaceDN/>
        <w:bidi w:val="0"/>
        <w:adjustRightInd/>
        <w:snapToGrid/>
        <w:ind w:right="105" w:rightChars="50" w:firstLine="643" w:firstLineChars="200"/>
        <w:textAlignment w:val="auto"/>
        <w:outlineLvl w:val="9"/>
        <w:rPr>
          <w:rFonts w:hint="eastAsia" w:ascii="仿宋_GB2312" w:eastAsia="仿宋_GB2312"/>
          <w:sz w:val="32"/>
          <w:szCs w:val="32"/>
          <w:lang w:eastAsia="zh-CN"/>
        </w:rPr>
      </w:pPr>
      <w:r>
        <w:rPr>
          <w:rFonts w:hint="eastAsia" w:ascii="仿宋_GB2312" w:hAnsi="宋体" w:eastAsia="仿宋_GB2312" w:cs="宋体"/>
          <w:b/>
          <w:color w:val="000000"/>
          <w:sz w:val="32"/>
          <w:szCs w:val="32"/>
          <w:lang w:val="en-US" w:eastAsia="zh-CN"/>
        </w:rPr>
        <w:t>2、一般性转移支付。</w:t>
      </w:r>
      <w:r>
        <w:rPr>
          <w:rFonts w:hint="eastAsia" w:ascii="仿宋_GB2312" w:eastAsia="仿宋_GB2312"/>
          <w:sz w:val="32"/>
          <w:szCs w:val="32"/>
        </w:rPr>
        <w:t>一般性转移支付是地方政府可以按照相关规定统筹安排、使用的补助资金，主要包括：均衡性转移支付</w:t>
      </w:r>
      <w:r>
        <w:rPr>
          <w:rFonts w:hint="eastAsia" w:ascii="仿宋_GB2312" w:eastAsia="仿宋_GB2312"/>
          <w:sz w:val="32"/>
          <w:szCs w:val="32"/>
          <w:lang w:eastAsia="zh-CN"/>
        </w:rPr>
        <w:t>、</w:t>
      </w:r>
      <w:r>
        <w:rPr>
          <w:rFonts w:hint="eastAsia" w:ascii="仿宋_GB2312" w:eastAsia="仿宋_GB2312"/>
          <w:sz w:val="32"/>
          <w:szCs w:val="32"/>
        </w:rPr>
        <w:t>县级基本财力保障机制奖补</w:t>
      </w:r>
      <w:r>
        <w:rPr>
          <w:rFonts w:hint="eastAsia" w:ascii="仿宋_GB2312" w:eastAsia="仿宋_GB2312"/>
          <w:sz w:val="32"/>
          <w:szCs w:val="32"/>
          <w:lang w:eastAsia="zh-CN"/>
        </w:rPr>
        <w:t>、</w:t>
      </w:r>
      <w:r>
        <w:rPr>
          <w:rFonts w:hint="eastAsia" w:ascii="仿宋_GB2312" w:eastAsia="仿宋_GB2312"/>
          <w:sz w:val="32"/>
          <w:szCs w:val="32"/>
        </w:rPr>
        <w:t>重点生态功能区转移支付</w:t>
      </w:r>
      <w:r>
        <w:rPr>
          <w:rFonts w:hint="eastAsia" w:ascii="仿宋_GB2312" w:eastAsia="仿宋_GB2312"/>
          <w:sz w:val="32"/>
          <w:szCs w:val="32"/>
          <w:lang w:eastAsia="zh-CN"/>
        </w:rPr>
        <w:t>、</w:t>
      </w:r>
      <w:r>
        <w:rPr>
          <w:rFonts w:hint="eastAsia" w:ascii="仿宋_GB2312" w:eastAsia="仿宋_GB2312"/>
          <w:sz w:val="32"/>
          <w:szCs w:val="32"/>
        </w:rPr>
        <w:t>资源枯竭型城市转移支付</w:t>
      </w:r>
      <w:r>
        <w:rPr>
          <w:rFonts w:hint="eastAsia" w:ascii="仿宋_GB2312" w:eastAsia="仿宋_GB2312"/>
          <w:sz w:val="32"/>
          <w:szCs w:val="32"/>
          <w:lang w:eastAsia="zh-CN"/>
        </w:rPr>
        <w:t>、革命老区转移支付、固定数额补助等。主要用于均衡地区间财力配置，保障地方政府日常运转和推动区域协调发展。</w:t>
      </w:r>
    </w:p>
    <w:p>
      <w:pPr>
        <w:keepNext w:val="0"/>
        <w:keepLines w:val="0"/>
        <w:pageBreakBefore w:val="0"/>
        <w:widowControl w:val="0"/>
        <w:kinsoku/>
        <w:wordWrap/>
        <w:overflowPunct/>
        <w:topLinePunct w:val="0"/>
        <w:autoSpaceDE/>
        <w:autoSpaceDN/>
        <w:bidi w:val="0"/>
        <w:adjustRightInd/>
        <w:snapToGrid/>
        <w:ind w:right="105" w:rightChars="50" w:firstLine="643" w:firstLineChars="200"/>
        <w:textAlignment w:val="auto"/>
        <w:outlineLvl w:val="9"/>
        <w:rPr>
          <w:rFonts w:hint="eastAsia" w:ascii="仿宋_GB2312" w:hAnsi="宋体" w:eastAsia="仿宋_GB2312" w:cs="宋体"/>
          <w:b/>
          <w:color w:val="000000"/>
          <w:sz w:val="32"/>
          <w:szCs w:val="32"/>
          <w:lang w:val="en-US" w:eastAsia="zh-CN"/>
        </w:rPr>
      </w:pPr>
      <w:r>
        <w:rPr>
          <w:rFonts w:hint="eastAsia" w:ascii="仿宋_GB2312" w:hAnsi="宋体" w:eastAsia="仿宋_GB2312" w:cs="宋体"/>
          <w:b/>
          <w:color w:val="000000"/>
          <w:sz w:val="32"/>
          <w:szCs w:val="32"/>
          <w:lang w:val="en-US" w:eastAsia="zh-CN"/>
        </w:rPr>
        <w:t>3、专项转移支付。</w:t>
      </w:r>
      <w:r>
        <w:rPr>
          <w:rFonts w:hint="eastAsia" w:ascii="仿宋_GB2312" w:eastAsia="仿宋_GB2312"/>
          <w:sz w:val="32"/>
          <w:szCs w:val="32"/>
        </w:rPr>
        <w:t>专项转移支付是</w:t>
      </w:r>
      <w:r>
        <w:rPr>
          <w:rFonts w:hint="eastAsia" w:ascii="仿宋_GB2312" w:eastAsia="仿宋_GB2312"/>
          <w:sz w:val="32"/>
          <w:szCs w:val="32"/>
          <w:lang w:eastAsia="zh-CN"/>
        </w:rPr>
        <w:t>上级政府</w:t>
      </w:r>
      <w:r>
        <w:rPr>
          <w:rFonts w:hint="eastAsia" w:ascii="仿宋_GB2312" w:eastAsia="仿宋_GB2312"/>
          <w:sz w:val="32"/>
          <w:szCs w:val="32"/>
        </w:rPr>
        <w:t>对</w:t>
      </w:r>
      <w:r>
        <w:rPr>
          <w:rFonts w:hint="eastAsia" w:ascii="仿宋_GB2312" w:eastAsia="仿宋_GB2312"/>
          <w:sz w:val="32"/>
          <w:szCs w:val="32"/>
          <w:lang w:eastAsia="zh-CN"/>
        </w:rPr>
        <w:t>下级政府</w:t>
      </w:r>
      <w:r>
        <w:rPr>
          <w:rFonts w:hint="eastAsia" w:ascii="仿宋_GB2312" w:eastAsia="仿宋_GB2312"/>
          <w:sz w:val="32"/>
          <w:szCs w:val="32"/>
        </w:rPr>
        <w:t>给予的具有专门用途的补助资金</w:t>
      </w:r>
      <w:r>
        <w:rPr>
          <w:rFonts w:hint="eastAsia" w:ascii="仿宋_GB2312" w:eastAsia="仿宋_GB2312"/>
          <w:sz w:val="32"/>
          <w:szCs w:val="32"/>
          <w:lang w:eastAsia="zh-CN"/>
        </w:rPr>
        <w:t>，主要用于引导下级贯彻落实上级党委、政府的决策部署。</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eastAsia="仿宋_GB2312"/>
          <w:bCs/>
          <w:snapToGrid w:val="0"/>
          <w:kern w:val="0"/>
          <w:sz w:val="32"/>
          <w:szCs w:val="32"/>
        </w:rPr>
      </w:pPr>
      <w:r>
        <w:rPr>
          <w:rFonts w:hint="eastAsia" w:ascii="仿宋_GB2312" w:hAnsi="宋体" w:eastAsia="仿宋_GB2312" w:cs="宋体"/>
          <w:b/>
          <w:color w:val="000000"/>
          <w:sz w:val="32"/>
          <w:szCs w:val="32"/>
          <w:lang w:val="en-US" w:eastAsia="zh-CN"/>
        </w:rPr>
        <w:t>4、一般债券。</w:t>
      </w:r>
      <w:r>
        <w:rPr>
          <w:rFonts w:hint="eastAsia" w:ascii="仿宋_GB2312" w:hAnsi="宋体" w:eastAsia="仿宋_GB2312" w:cs="宋体"/>
          <w:b w:val="0"/>
          <w:bCs/>
          <w:color w:val="000000"/>
          <w:sz w:val="32"/>
          <w:szCs w:val="32"/>
          <w:lang w:val="en-US" w:eastAsia="zh-CN"/>
        </w:rPr>
        <w:t>是</w:t>
      </w:r>
      <w:r>
        <w:rPr>
          <w:rFonts w:hint="eastAsia" w:ascii="仿宋_GB2312" w:eastAsia="仿宋_GB2312"/>
          <w:bCs/>
          <w:snapToGrid w:val="0"/>
          <w:kern w:val="0"/>
          <w:sz w:val="32"/>
          <w:szCs w:val="32"/>
        </w:rPr>
        <w:t>指省</w:t>
      </w:r>
      <w:r>
        <w:rPr>
          <w:rFonts w:hint="eastAsia" w:ascii="仿宋_GB2312" w:eastAsia="仿宋_GB2312"/>
          <w:bCs/>
          <w:snapToGrid w:val="0"/>
          <w:kern w:val="0"/>
          <w:sz w:val="32"/>
          <w:szCs w:val="32"/>
          <w:lang w:eastAsia="zh-CN"/>
        </w:rPr>
        <w:t>级</w:t>
      </w:r>
      <w:r>
        <w:rPr>
          <w:rFonts w:hint="eastAsia" w:ascii="仿宋_GB2312" w:eastAsia="仿宋_GB2312"/>
          <w:bCs/>
          <w:snapToGrid w:val="0"/>
          <w:kern w:val="0"/>
          <w:sz w:val="32"/>
          <w:szCs w:val="32"/>
        </w:rPr>
        <w:t>政府为没有收益的公益性项目发行的、约定一定期限内主要以一般公共预算收入还本付息的政府债券。</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宋体" w:eastAsia="仿宋_GB2312" w:cs="宋体"/>
          <w:b/>
          <w:color w:val="000000"/>
          <w:sz w:val="32"/>
          <w:szCs w:val="32"/>
          <w:lang w:val="en-US" w:eastAsia="zh-CN"/>
        </w:rPr>
      </w:pPr>
      <w:r>
        <w:rPr>
          <w:rFonts w:hint="eastAsia" w:ascii="仿宋_GB2312" w:hAnsi="宋体" w:eastAsia="仿宋_GB2312" w:cs="宋体"/>
          <w:b/>
          <w:color w:val="000000"/>
          <w:sz w:val="32"/>
          <w:szCs w:val="32"/>
          <w:lang w:val="en-US" w:eastAsia="zh-CN"/>
        </w:rPr>
        <w:t>5、专项债券。</w:t>
      </w:r>
      <w:r>
        <w:rPr>
          <w:rFonts w:hint="eastAsia" w:ascii="仿宋_GB2312" w:hAnsi="宋体" w:eastAsia="仿宋_GB2312" w:cs="宋体"/>
          <w:b w:val="0"/>
          <w:bCs/>
          <w:color w:val="000000"/>
          <w:sz w:val="32"/>
          <w:szCs w:val="32"/>
          <w:lang w:val="en-US" w:eastAsia="zh-CN"/>
        </w:rPr>
        <w:t>是</w:t>
      </w:r>
      <w:r>
        <w:rPr>
          <w:rFonts w:hint="eastAsia" w:ascii="仿宋_GB2312" w:eastAsia="仿宋_GB2312"/>
          <w:bCs/>
          <w:snapToGrid w:val="0"/>
          <w:kern w:val="0"/>
          <w:sz w:val="32"/>
          <w:szCs w:val="32"/>
        </w:rPr>
        <w:t>指省</w:t>
      </w:r>
      <w:r>
        <w:rPr>
          <w:rFonts w:hint="eastAsia" w:ascii="仿宋_GB2312" w:eastAsia="仿宋_GB2312"/>
          <w:bCs/>
          <w:snapToGrid w:val="0"/>
          <w:kern w:val="0"/>
          <w:sz w:val="32"/>
          <w:szCs w:val="32"/>
          <w:lang w:eastAsia="zh-CN"/>
        </w:rPr>
        <w:t>级</w:t>
      </w:r>
      <w:r>
        <w:rPr>
          <w:rFonts w:hint="eastAsia" w:ascii="仿宋_GB2312" w:eastAsia="仿宋_GB2312"/>
          <w:bCs/>
          <w:snapToGrid w:val="0"/>
          <w:kern w:val="0"/>
          <w:sz w:val="32"/>
          <w:szCs w:val="32"/>
        </w:rPr>
        <w:t>政府为</w:t>
      </w:r>
      <w:r>
        <w:rPr>
          <w:rFonts w:hint="eastAsia" w:ascii="仿宋_GB2312" w:hAnsi="仿宋_GB2312" w:eastAsia="仿宋_GB2312" w:cs="仿宋_GB2312"/>
          <w:i w:val="0"/>
          <w:iCs w:val="0"/>
          <w:sz w:val="32"/>
          <w:szCs w:val="32"/>
          <w:lang w:val="en-US" w:eastAsia="zh-CN"/>
        </w:rPr>
        <w:t>有一定收益的公益性项目发行的、约定一定期限内以公益性项目对应的政府性基金或专项收入还本付息</w:t>
      </w:r>
      <w:r>
        <w:rPr>
          <w:rFonts w:hint="eastAsia" w:ascii="仿宋_GB2312" w:eastAsia="仿宋_GB2312"/>
          <w:bCs/>
          <w:snapToGrid w:val="0"/>
          <w:kern w:val="0"/>
          <w:sz w:val="32"/>
          <w:szCs w:val="32"/>
        </w:rPr>
        <w:t>的政府债券</w:t>
      </w:r>
      <w:r>
        <w:rPr>
          <w:rFonts w:hint="eastAsia" w:ascii="仿宋_GB2312" w:hAnsi="仿宋_GB2312" w:eastAsia="仿宋_GB2312" w:cs="仿宋_GB2312"/>
          <w:i w:val="0"/>
          <w:i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right="105" w:rightChars="50" w:firstLine="643" w:firstLineChars="200"/>
        <w:textAlignment w:val="auto"/>
        <w:outlineLvl w:val="9"/>
        <w:rPr>
          <w:rFonts w:hint="eastAsia" w:ascii="仿宋_GB2312" w:hAnsi="宋体" w:eastAsia="仿宋_GB2312" w:cs="宋体"/>
          <w:b/>
          <w:color w:val="000000"/>
          <w:sz w:val="32"/>
          <w:szCs w:val="32"/>
          <w:lang w:val="en-US" w:eastAsia="zh-CN"/>
        </w:rPr>
      </w:pPr>
      <w:r>
        <w:rPr>
          <w:rFonts w:hint="eastAsia" w:ascii="仿宋_GB2312" w:hAnsi="宋体" w:eastAsia="仿宋_GB2312" w:cs="宋体"/>
          <w:b/>
          <w:color w:val="000000"/>
          <w:sz w:val="32"/>
          <w:szCs w:val="32"/>
          <w:lang w:val="en-US" w:eastAsia="zh-CN"/>
        </w:rPr>
        <w:t>6、新增债券。</w:t>
      </w:r>
      <w:r>
        <w:rPr>
          <w:rFonts w:hint="eastAsia" w:ascii="仿宋_GB2312" w:hAnsi="仿宋_GB2312" w:eastAsia="仿宋_GB2312" w:cs="仿宋_GB2312"/>
          <w:b w:val="0"/>
          <w:bCs w:val="0"/>
          <w:i w:val="0"/>
          <w:iCs w:val="0"/>
          <w:sz w:val="32"/>
          <w:szCs w:val="32"/>
          <w:lang w:val="en-US" w:eastAsia="zh-CN"/>
        </w:rPr>
        <w:t>是指在上级下达的新增政府债务限额内、由省级政府统一发行、用于公益项目资本性支出的政府债券，包括新增一般债券和新增专项债券。</w:t>
      </w:r>
    </w:p>
    <w:p>
      <w:pPr>
        <w:keepNext w:val="0"/>
        <w:keepLines w:val="0"/>
        <w:pageBreakBefore w:val="0"/>
        <w:widowControl w:val="0"/>
        <w:kinsoku/>
        <w:wordWrap/>
        <w:overflowPunct/>
        <w:topLinePunct w:val="0"/>
        <w:autoSpaceDE/>
        <w:autoSpaceDN/>
        <w:bidi w:val="0"/>
        <w:adjustRightInd/>
        <w:snapToGrid/>
        <w:ind w:right="105" w:rightChars="50" w:firstLine="643" w:firstLineChars="200"/>
        <w:textAlignment w:val="auto"/>
        <w:outlineLvl w:val="9"/>
        <w:rPr>
          <w:rFonts w:hint="eastAsia" w:ascii="仿宋_GB2312" w:hAnsi="宋体" w:eastAsia="仿宋_GB2312" w:cs="宋体"/>
          <w:b/>
          <w:color w:val="000000"/>
          <w:sz w:val="32"/>
          <w:szCs w:val="32"/>
          <w:lang w:val="en-US" w:eastAsia="zh-CN"/>
        </w:rPr>
      </w:pPr>
      <w:r>
        <w:rPr>
          <w:rFonts w:hint="eastAsia" w:ascii="仿宋_GB2312" w:hAnsi="宋体" w:eastAsia="仿宋_GB2312" w:cs="宋体"/>
          <w:b/>
          <w:color w:val="000000"/>
          <w:sz w:val="32"/>
          <w:szCs w:val="32"/>
          <w:lang w:val="en-US" w:eastAsia="zh-CN"/>
        </w:rPr>
        <w:t>7、再融资债券。</w:t>
      </w:r>
      <w:r>
        <w:rPr>
          <w:rFonts w:hint="eastAsia" w:ascii="仿宋_GB2312" w:hAnsi="仿宋_GB2312" w:eastAsia="仿宋_GB2312" w:cs="仿宋_GB2312"/>
          <w:b w:val="0"/>
          <w:bCs w:val="0"/>
          <w:i w:val="0"/>
          <w:iCs w:val="0"/>
          <w:sz w:val="32"/>
          <w:szCs w:val="32"/>
          <w:lang w:val="en-US" w:eastAsia="zh-CN"/>
        </w:rPr>
        <w:t>是指在上级核定额度内发行的、用于偿还以前年度发行的政府债券本金的政府债券，包括再融资一般债券和再融资专项债券。</w:t>
      </w:r>
    </w:p>
    <w:p>
      <w:pPr>
        <w:keepNext w:val="0"/>
        <w:keepLines w:val="0"/>
        <w:pageBreakBefore w:val="0"/>
        <w:widowControl w:val="0"/>
        <w:kinsoku/>
        <w:wordWrap/>
        <w:overflowPunct/>
        <w:topLinePunct w:val="0"/>
        <w:autoSpaceDE/>
        <w:autoSpaceDN/>
        <w:bidi w:val="0"/>
        <w:adjustRightInd/>
        <w:snapToGrid/>
        <w:ind w:right="105" w:rightChars="50" w:firstLine="643" w:firstLineChars="200"/>
        <w:textAlignment w:val="auto"/>
        <w:outlineLvl w:val="9"/>
        <w:rPr>
          <w:rFonts w:hint="eastAsia" w:ascii="仿宋_GB2312" w:hAnsi="宋体" w:eastAsia="仿宋_GB2312" w:cs="宋体"/>
          <w:b/>
          <w:color w:val="000000"/>
          <w:sz w:val="32"/>
          <w:szCs w:val="32"/>
          <w:lang w:val="en-US" w:eastAsia="zh-CN"/>
        </w:rPr>
      </w:pPr>
      <w:r>
        <w:rPr>
          <w:rFonts w:hint="eastAsia" w:ascii="仿宋_GB2312" w:hAnsi="宋体" w:eastAsia="仿宋_GB2312" w:cs="宋体"/>
          <w:b/>
          <w:color w:val="000000"/>
          <w:sz w:val="32"/>
          <w:szCs w:val="32"/>
          <w:lang w:val="en-US" w:eastAsia="zh-CN"/>
        </w:rPr>
        <w:t>8、债务限额。</w:t>
      </w:r>
      <w:r>
        <w:rPr>
          <w:rFonts w:hint="eastAsia" w:ascii="仿宋_GB2312" w:hAnsi="仿宋_GB2312" w:eastAsia="仿宋_GB2312" w:cs="仿宋_GB2312"/>
          <w:b w:val="0"/>
          <w:bCs w:val="0"/>
          <w:i w:val="0"/>
          <w:iCs w:val="0"/>
          <w:sz w:val="32"/>
          <w:szCs w:val="32"/>
          <w:lang w:val="en-US" w:eastAsia="zh-CN"/>
        </w:rPr>
        <w:t>是指地方政府债务规模实行限额管理，地方政府举债不得突破批准的限额。地方政府一般债务和专项债务规模纳入限额管理，由国务院确定并报全国人大或其常委会批准，分地区限额由财政部在全国人大或其常委会批准的地方政府债务规模内根据各地区债务风险、财力状况等因素测算并报国务院批准。</w:t>
      </w:r>
    </w:p>
    <w:p>
      <w:pPr>
        <w:keepNext w:val="0"/>
        <w:keepLines w:val="0"/>
        <w:pageBreakBefore w:val="0"/>
        <w:widowControl w:val="0"/>
        <w:kinsoku/>
        <w:wordWrap/>
        <w:overflowPunct/>
        <w:topLinePunct w:val="0"/>
        <w:autoSpaceDE/>
        <w:autoSpaceDN/>
        <w:bidi w:val="0"/>
        <w:adjustRightInd/>
        <w:snapToGrid/>
        <w:ind w:right="105" w:rightChars="50" w:firstLine="643"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宋体" w:eastAsia="仿宋_GB2312" w:cs="宋体"/>
          <w:b/>
          <w:color w:val="000000"/>
          <w:sz w:val="32"/>
          <w:szCs w:val="32"/>
          <w:lang w:val="en-US" w:eastAsia="zh-CN"/>
        </w:rPr>
        <w:t>9、债务余额。</w:t>
      </w:r>
      <w:r>
        <w:rPr>
          <w:rFonts w:hint="eastAsia" w:ascii="仿宋_GB2312" w:hAnsi="仿宋_GB2312" w:eastAsia="仿宋_GB2312" w:cs="仿宋_GB2312"/>
          <w:b w:val="0"/>
          <w:bCs w:val="0"/>
          <w:i w:val="0"/>
          <w:iCs w:val="0"/>
          <w:sz w:val="32"/>
          <w:szCs w:val="32"/>
          <w:lang w:val="en-US" w:eastAsia="zh-CN"/>
        </w:rPr>
        <w:t>是指地方政府在国务院批准的分地区限额内举借债务的余额。一般债务应在一般债务限额内举借，一般债务余额不得超过本地区一般债务限额；专项债务应在专项债务限额内举借，专项债务余额不得超过本地区专项债务限额。</w:t>
      </w:r>
    </w:p>
    <w:p>
      <w:pPr>
        <w:keepNext w:val="0"/>
        <w:keepLines w:val="0"/>
        <w:pageBreakBefore w:val="0"/>
        <w:widowControl w:val="0"/>
        <w:kinsoku/>
        <w:wordWrap/>
        <w:overflowPunct/>
        <w:topLinePunct w:val="0"/>
        <w:autoSpaceDE/>
        <w:autoSpaceDN/>
        <w:bidi w:val="0"/>
        <w:adjustRightInd/>
        <w:snapToGrid/>
        <w:ind w:right="105" w:rightChars="50" w:firstLine="643" w:firstLineChars="200"/>
        <w:textAlignment w:val="auto"/>
        <w:outlineLvl w:val="9"/>
        <w:rPr>
          <w:rFonts w:hint="eastAsia" w:ascii="仿宋_GB2312" w:hAnsi="宋体" w:eastAsia="仿宋_GB2312" w:cs="宋体"/>
          <w:bCs/>
          <w:color w:val="000000"/>
          <w:sz w:val="32"/>
          <w:szCs w:val="32"/>
        </w:rPr>
      </w:pPr>
      <w:r>
        <w:rPr>
          <w:rFonts w:hint="eastAsia" w:ascii="仿宋_GB2312" w:hAnsi="宋体" w:eastAsia="仿宋_GB2312" w:cs="宋体"/>
          <w:b/>
          <w:color w:val="000000"/>
          <w:sz w:val="32"/>
          <w:szCs w:val="32"/>
          <w:lang w:val="en-US" w:eastAsia="zh-CN"/>
        </w:rPr>
        <w:t>10、“三保”。</w:t>
      </w:r>
      <w:r>
        <w:rPr>
          <w:rFonts w:hint="eastAsia" w:ascii="仿宋_GB2312" w:hAnsi="宋体" w:eastAsia="仿宋_GB2312" w:cs="宋体"/>
          <w:bCs/>
          <w:color w:val="000000"/>
          <w:sz w:val="32"/>
          <w:szCs w:val="32"/>
        </w:rPr>
        <w:t>即保基本民生、保工资、保运转。2019年，为落实减税降费政策，中央要求各级坚持“过紧日子”，大力压缩一般性支出，优先保障干部职工工资发放、保障机关事业单位正常运转、保障基本民生支出兑付到位，同时要求坚持“两个优先”，即坚持“三保”支出在财政支出中的优先顺序，坚持国家标准的“三保”支出在“三保”支出中的优先顺序。2020年2月23日，习近平总书记在统筹推进新冠肺炎疫情防控和经济社会发展工作部署会议上的讲话指出：“一些地方财政受疫情影响较大，要加大转移支付力度，确保基层保工资、保运转、保基本民生”。2020年3月3日国务院常务会议指出，支持基层政府保基本民生、保工资、保运转，是保障群众切身利益的基本要求，也是推动政府履职和各项政策实施的基础条件。</w:t>
      </w:r>
    </w:p>
    <w:p>
      <w:pPr>
        <w:ind w:firstLine="640"/>
        <w:rPr>
          <w:rFonts w:hint="eastAsia" w:ascii="仿宋_GB2312" w:hAnsi="仿宋_GB2312" w:eastAsia="仿宋_GB2312" w:cs="仿宋_GB2312"/>
          <w:sz w:val="32"/>
          <w:szCs w:val="32"/>
          <w:lang w:val="en-US" w:eastAsia="zh-CN"/>
        </w:rPr>
      </w:pPr>
      <w:r>
        <w:rPr>
          <w:rFonts w:hint="eastAsia" w:ascii="仿宋_GB2312" w:hAnsi="宋体" w:eastAsia="仿宋_GB2312" w:cs="宋体"/>
          <w:b/>
          <w:color w:val="000000"/>
          <w:sz w:val="32"/>
          <w:szCs w:val="32"/>
          <w:lang w:val="en-US" w:eastAsia="zh-CN"/>
        </w:rPr>
        <w:t>11、国有土地使用权出让收入。</w:t>
      </w:r>
      <w:r>
        <w:rPr>
          <w:rFonts w:hint="eastAsia" w:ascii="仿宋_GB2312" w:hAnsi="仿宋_GB2312" w:eastAsia="仿宋_GB2312" w:cs="仿宋_GB2312"/>
          <w:sz w:val="32"/>
          <w:szCs w:val="32"/>
          <w:lang w:val="en-US" w:eastAsia="zh-CN"/>
        </w:rPr>
        <w:t>国有土地使用权出让收入是市县人民政府以土地所有者身份出让国有土地使用权所取得的全部收入，是向受让人收取的政府放弃若干年土地使用权的全部货币或其他物品及权利折合成货币的补偿。我省从1993年起实行土地有偿出让制度，2007年起全额纳入基金预算管理。国有土地使用权有偿使用收入专项用于城市建设和土地开发。2009年1月1日起，土地出让金收入全部调整为市县收入。</w:t>
      </w:r>
    </w:p>
    <w:p>
      <w:pPr>
        <w:numPr>
          <w:ilvl w:val="0"/>
          <w:numId w:val="0"/>
        </w:numPr>
        <w:ind w:firstLine="640"/>
        <w:rPr>
          <w:rFonts w:hint="eastAsia" w:ascii="黑体" w:hAnsi="黑体" w:eastAsia="黑体" w:cs="黑体"/>
          <w:sz w:val="36"/>
          <w:szCs w:val="36"/>
          <w:lang w:val="en-US" w:eastAsia="zh-CN"/>
        </w:rPr>
      </w:pPr>
      <w:r>
        <w:rPr>
          <w:rFonts w:hint="eastAsia" w:ascii="仿宋_GB2312" w:hAnsi="宋体" w:eastAsia="仿宋_GB2312" w:cs="宋体"/>
          <w:b/>
          <w:color w:val="000000"/>
          <w:sz w:val="32"/>
          <w:szCs w:val="32"/>
          <w:lang w:val="en-US" w:eastAsia="zh-CN"/>
        </w:rPr>
        <w:t>12、国有土地收益基金。</w:t>
      </w:r>
      <w:r>
        <w:rPr>
          <w:rFonts w:hint="eastAsia" w:ascii="仿宋_GB2312" w:hAnsi="仿宋_GB2312" w:eastAsia="仿宋_GB2312" w:cs="仿宋_GB2312"/>
          <w:sz w:val="32"/>
          <w:szCs w:val="32"/>
          <w:lang w:val="en-US" w:eastAsia="zh-CN"/>
        </w:rPr>
        <w:t>国有土地收益基金是为完善我国土地储备制度，避免地方政府“寅吃卯粮”的短期行为，以对土地开发和使用进行长远规划而设立的专项政府性基金。国有土地收益基金按照一定比例从国有土地使用权出让收入中提取，是一种准公益性基金。财政部、国土资源部、中国人民银行在2006年联合下发了《国有土地使用权出让收支管理办法》（财综</w:t>
      </w:r>
      <w:r>
        <w:rPr>
          <w:rFonts w:hint="eastAsia" w:ascii="仿宋" w:hAnsi="仿宋" w:eastAsia="仿宋" w:cs="仿宋"/>
          <w:sz w:val="32"/>
          <w:szCs w:val="32"/>
          <w:lang w:val="en-US" w:eastAsia="zh-CN"/>
        </w:rPr>
        <w:t>〔2006〕68号</w:t>
      </w:r>
      <w:r>
        <w:rPr>
          <w:rFonts w:hint="eastAsia" w:ascii="仿宋_GB2312" w:hAnsi="仿宋_GB2312" w:eastAsia="仿宋_GB2312" w:cs="仿宋_GB2312"/>
          <w:sz w:val="32"/>
          <w:szCs w:val="32"/>
          <w:lang w:val="en-US" w:eastAsia="zh-CN"/>
        </w:rPr>
        <w:t>），规定了国有土地收益基金用途，主要用于土地收购储备，包括土地补偿费、安置补偿费、地上附着物和青苗补偿费、拆迁补偿费以及前期土地开发支出。</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宋体" w:eastAsia="仿宋_GB2312" w:cs="宋体"/>
          <w:b/>
          <w:color w:val="000000"/>
          <w:sz w:val="32"/>
          <w:szCs w:val="32"/>
          <w:lang w:val="en-US" w:eastAsia="zh-CN"/>
        </w:rPr>
        <w:t>13.政府支出功能分类。</w:t>
      </w:r>
      <w:r>
        <w:rPr>
          <w:rFonts w:hint="eastAsia" w:ascii="仿宋_GB2312" w:hAnsi="仿宋_GB2312" w:eastAsia="仿宋_GB2312" w:cs="仿宋_GB2312"/>
          <w:sz w:val="32"/>
          <w:szCs w:val="32"/>
          <w:lang w:val="en-US" w:eastAsia="zh-CN"/>
        </w:rPr>
        <w:t xml:space="preserve"> 主要反映政府的各项职能活动的支出，我国政府支出功能分类设置一般公共服务、外交、国防、公共安全、教育等大类，类下再分款、项两级,如一般公共服务类下分人大 事务、发展与改革事务等款支出,通常由财政总预算会计按财政支出的功能详细列示,以反映政府用 于各项事务的总括支出。以“教育”为例，类、款、项三级结构对应为“教育”—“普通教育”— “小学教育”，反映出政府为完成教育职能在“普通教育”中用于“小学教育”这个具体方面的支 出费用多少。 </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宋体" w:eastAsia="仿宋_GB2312" w:cs="宋体"/>
          <w:b/>
          <w:color w:val="000000"/>
          <w:sz w:val="32"/>
          <w:szCs w:val="32"/>
          <w:lang w:val="en-US" w:eastAsia="zh-CN"/>
        </w:rPr>
        <w:t>14.政府支出经济分类。</w:t>
      </w:r>
      <w:r>
        <w:rPr>
          <w:rFonts w:hint="eastAsia" w:ascii="仿宋_GB2312" w:hAnsi="仿宋_GB2312" w:eastAsia="仿宋_GB2312" w:cs="仿宋_GB2312"/>
          <w:sz w:val="32"/>
          <w:szCs w:val="32"/>
          <w:lang w:val="en-US" w:eastAsia="zh-CN"/>
        </w:rPr>
        <w:t>主要反映政府支出的经济性质和具体用途,通常由使用财政拨款的单位 在执行预算执行时具体列示。支出经济分类设类、款两级，比如教育经费中分别有多少用于教师工 资、房屋建设、教学设备、修缮等，这种分类更能一目了然地分清“钱花到哪儿去了”。</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宋体" w:eastAsia="仿宋_GB2312" w:cs="宋体"/>
          <w:b/>
          <w:color w:val="000000"/>
          <w:sz w:val="32"/>
          <w:szCs w:val="32"/>
          <w:lang w:val="en-US" w:eastAsia="zh-CN"/>
        </w:rPr>
        <w:t xml:space="preserve"> 15.“三公”经费。</w:t>
      </w:r>
      <w:r>
        <w:rPr>
          <w:rFonts w:hint="eastAsia" w:ascii="仿宋_GB2312" w:hAnsi="仿宋_GB2312" w:eastAsia="仿宋_GB2312" w:cs="仿宋_GB2312"/>
          <w:sz w:val="32"/>
          <w:szCs w:val="32"/>
          <w:lang w:val="en-US" w:eastAsia="zh-CN"/>
        </w:rPr>
        <w:t xml:space="preserve">是指用财政拨款安排的因公出国（境）费、公务用车购置及运行费和公 务接待费。其中:因公出国（境）费反映单位公务出国（境）的国际旅费、国外城市间交通费、住宿 费、伙食费、培训费、公杂费等支出；公务用车购置及运行费反映单位公务用车车辆购置支出（含 车辆购置税、牌照费）及按规定保留的公务用车燃料费、维修费、过路过桥费、保险费、安全奖励 费用等支出；公务接待费反映单位按规定开支的各类公务接待（含外宾接待）支出。 </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宋体" w:eastAsia="仿宋_GB2312" w:cs="宋体"/>
          <w:b/>
          <w:color w:val="000000"/>
          <w:sz w:val="32"/>
          <w:szCs w:val="32"/>
          <w:lang w:val="en-US" w:eastAsia="zh-CN"/>
        </w:rPr>
        <w:t>16.机关运行经费。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为保障行政单位（包括参照公务员法管理的事业单位）运行用于购买货物和服务的各项公用经费，包括办公费、印刷费、邮电费、差旅费、会议费、福利费、日常维修费、专 用材料及办公用房水电费、办公用房取暖费、办公用房物业管理费、公务用车运行维护费以及其他 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p>
    <w:p>
      <w:pPr>
        <w:numPr>
          <w:ilvl w:val="0"/>
          <w:numId w:val="0"/>
        </w:numPr>
        <w:jc w:val="left"/>
        <w:rPr>
          <w:rFonts w:hint="default" w:ascii="仿宋" w:hAnsi="仿宋" w:eastAsia="仿宋" w:cs="仿宋"/>
          <w:i w:val="0"/>
          <w:caps w:val="0"/>
          <w:color w:val="2B2B2B"/>
          <w:spacing w:val="0"/>
          <w:kern w:val="0"/>
          <w:sz w:val="32"/>
          <w:szCs w:val="32"/>
          <w:shd w:val="clear" w:fill="FFFFFF"/>
          <w:lang w:val="en-US" w:eastAsia="zh-CN" w:bidi="ar"/>
        </w:rPr>
      </w:pPr>
    </w:p>
    <w:p>
      <w:pPr>
        <w:numPr>
          <w:ilvl w:val="0"/>
          <w:numId w:val="0"/>
        </w:numPr>
        <w:jc w:val="left"/>
        <w:rPr>
          <w:rFonts w:hint="default" w:ascii="仿宋" w:hAnsi="仿宋" w:eastAsia="仿宋" w:cs="仿宋"/>
          <w:i w:val="0"/>
          <w:caps w:val="0"/>
          <w:color w:val="2B2B2B"/>
          <w:spacing w:val="0"/>
          <w:kern w:val="0"/>
          <w:sz w:val="32"/>
          <w:szCs w:val="32"/>
          <w:shd w:val="clear" w:fill="FFFFFF"/>
          <w:lang w:val="en-US" w:eastAsia="zh-CN" w:bidi="ar"/>
        </w:rPr>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ABD93"/>
    <w:multiLevelType w:val="singleLevel"/>
    <w:tmpl w:val="BA8ABD93"/>
    <w:lvl w:ilvl="0" w:tentative="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5442E"/>
    <w:rsid w:val="01504311"/>
    <w:rsid w:val="0542278F"/>
    <w:rsid w:val="05EB132E"/>
    <w:rsid w:val="18F56B76"/>
    <w:rsid w:val="1E8C3EA7"/>
    <w:rsid w:val="222D3FD7"/>
    <w:rsid w:val="25A21F3C"/>
    <w:rsid w:val="26AA3162"/>
    <w:rsid w:val="2B35442E"/>
    <w:rsid w:val="32FC5DBE"/>
    <w:rsid w:val="331256D9"/>
    <w:rsid w:val="3ACA4D74"/>
    <w:rsid w:val="3F3E1858"/>
    <w:rsid w:val="4579267C"/>
    <w:rsid w:val="4CB1137D"/>
    <w:rsid w:val="5064717B"/>
    <w:rsid w:val="572F019A"/>
    <w:rsid w:val="598E1AF6"/>
    <w:rsid w:val="5FCA23B0"/>
    <w:rsid w:val="66D703C5"/>
    <w:rsid w:val="674C1677"/>
    <w:rsid w:val="70F92379"/>
    <w:rsid w:val="71D63284"/>
    <w:rsid w:val="7B243821"/>
    <w:rsid w:val="7B616A4C"/>
    <w:rsid w:val="7E951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2019-04-16T10:15:00Z</dcterms:created>
  <dc:creator>Administrator</dc:creator>
  <cp:lastModifiedBy>人要靠自己</cp:lastModifiedBy>
  <dcterms:modified xsi:type="dcterms:W3CDTF">2021-04-06T10:30:51Z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5A2A90D86ADF42D0A7E8C4B5C439C278</vt:lpwstr>
  </property>
</Properties>
</file>