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23FC2">
      <w:pPr>
        <w:spacing w:line="50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3066CA70">
      <w:pPr>
        <w:spacing w:line="50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3C4CB34">
      <w:pPr>
        <w:spacing w:before="0" w:after="40" w:line="600" w:lineRule="exact"/>
        <w:jc w:val="center"/>
      </w:pPr>
      <w:r>
        <w:rPr>
          <w:rFonts w:ascii="Times New Roman" w:hAnsi="Times New Roman" w:eastAsia="黑体" w:cs="Times New Roman"/>
          <w:b/>
          <w:sz w:val="36"/>
        </w:rPr>
        <w:t>水质检测服务采购项目评审打分表</w:t>
      </w:r>
    </w:p>
    <w:p w14:paraId="1D3CFF0F">
      <w:pPr>
        <w:spacing w:before="0" w:after="120" w:line="360" w:lineRule="exact"/>
        <w:jc w:val="center"/>
      </w:pPr>
      <w:r>
        <w:rPr>
          <w:rFonts w:ascii="Times New Roman" w:hAnsi="Times New Roman" w:eastAsia="仿宋" w:cs="Times New Roman"/>
          <w:b w:val="0"/>
          <w:sz w:val="21"/>
        </w:rPr>
        <w:t>（综合评分法，满分100分）</w:t>
      </w:r>
    </w:p>
    <w:p w14:paraId="0E0E40B1">
      <w:pPr>
        <w:spacing w:before="0" w:after="160" w:line="360" w:lineRule="exact"/>
        <w:jc w:val="center"/>
      </w:pPr>
      <w:r>
        <w:rPr>
          <w:rFonts w:ascii="Times New Roman" w:hAnsi="Times New Roman" w:eastAsia="仿宋" w:cs="Times New Roman"/>
          <w:b w:val="0"/>
          <w:sz w:val="21"/>
        </w:rPr>
        <w:t>项目名称：</w:t>
      </w:r>
      <w:r>
        <w:rPr>
          <w:rFonts w:hint="eastAsia" w:eastAsia="仿宋" w:cs="Times New Roman"/>
          <w:b w:val="0"/>
          <w:sz w:val="21"/>
          <w:lang w:val="en-US" w:eastAsia="zh-CN"/>
        </w:rPr>
        <w:t xml:space="preserve">                       </w:t>
      </w:r>
      <w:r>
        <w:rPr>
          <w:rFonts w:ascii="Times New Roman" w:hAnsi="Times New Roman" w:eastAsia="仿宋" w:cs="Times New Roman"/>
          <w:b w:val="0"/>
          <w:sz w:val="21"/>
        </w:rPr>
        <w:t xml:space="preserve">          评审日期：____年__月__日</w:t>
      </w:r>
    </w:p>
    <w:p w14:paraId="659F5B0D">
      <w:pPr>
        <w:keepNext/>
        <w:spacing w:before="120" w:after="80" w:line="440" w:lineRule="exact"/>
      </w:pPr>
      <w:r>
        <w:rPr>
          <w:rFonts w:ascii="Times New Roman" w:hAnsi="Times New Roman" w:eastAsia="黑体" w:cs="Times New Roman"/>
          <w:b/>
          <w:sz w:val="28"/>
        </w:rPr>
        <w:t>一、评审说明</w:t>
      </w:r>
    </w:p>
    <w:p w14:paraId="21450901">
      <w:pPr>
        <w:spacing w:before="0" w:after="60" w:line="380" w:lineRule="exact"/>
      </w:pPr>
      <w:r>
        <w:rPr>
          <w:rFonts w:ascii="Times New Roman" w:hAnsi="Times New Roman" w:eastAsia="仿宋" w:cs="Times New Roman"/>
          <w:b w:val="0"/>
          <w:sz w:val="22"/>
        </w:rPr>
        <w:t>1. 本项目采用综合评分法，评审总分100分，由检测报价（30分）、检测能力与方案（40分）、类似业绩（15分）、履约与应急保障（15分）四个因素构成。</w:t>
      </w:r>
    </w:p>
    <w:p w14:paraId="46FBE1EC">
      <w:pPr>
        <w:spacing w:before="0" w:after="60" w:line="380" w:lineRule="exact"/>
      </w:pPr>
      <w:r>
        <w:rPr>
          <w:rFonts w:ascii="Times New Roman" w:hAnsi="Times New Roman" w:eastAsia="仿宋" w:cs="Times New Roman"/>
          <w:b w:val="0"/>
          <w:sz w:val="22"/>
        </w:rPr>
        <w:t>2. 评审小组仅依据供应商提交的响应文件进行评审，不组织供应商到场、现场</w:t>
      </w:r>
      <w:r>
        <w:rPr>
          <w:rFonts w:hint="eastAsia" w:ascii="Times New Roman" w:hAnsi="Times New Roman" w:eastAsia="仿宋" w:cs="Times New Roman"/>
          <w:b w:val="0"/>
          <w:sz w:val="22"/>
          <w:lang w:val="en-US" w:eastAsia="zh-CN"/>
        </w:rPr>
        <w:t>答辩</w:t>
      </w:r>
      <w:r>
        <w:rPr>
          <w:rFonts w:ascii="Times New Roman" w:hAnsi="Times New Roman" w:eastAsia="仿宋" w:cs="Times New Roman"/>
          <w:b w:val="0"/>
          <w:sz w:val="22"/>
        </w:rPr>
        <w:t>或最后报价，不抽取外部评审专家。</w:t>
      </w:r>
    </w:p>
    <w:p w14:paraId="6860724F">
      <w:pPr>
        <w:spacing w:before="0" w:after="60" w:line="380" w:lineRule="exact"/>
      </w:pPr>
      <w:r>
        <w:rPr>
          <w:rFonts w:ascii="Times New Roman" w:hAnsi="Times New Roman" w:eastAsia="仿宋" w:cs="Times New Roman"/>
          <w:b w:val="0"/>
          <w:sz w:val="22"/>
        </w:rPr>
        <w:t>3. 供应商报价超过最高限价（299,900元）的，按无效响应处理，不进入评分。</w:t>
      </w:r>
    </w:p>
    <w:p w14:paraId="6098FEDE">
      <w:pPr>
        <w:spacing w:before="0" w:after="60" w:line="380" w:lineRule="exact"/>
      </w:pPr>
      <w:r>
        <w:rPr>
          <w:rFonts w:ascii="Times New Roman" w:hAnsi="Times New Roman" w:eastAsia="仿宋" w:cs="Times New Roman"/>
          <w:b w:val="0"/>
          <w:sz w:val="22"/>
        </w:rPr>
        <w:t>4. 综合得分＝各评审因素得分之和，得分最高者为推荐成交供应商；得分相同且影响成交的，按检测报价由低到高排序。</w:t>
      </w:r>
    </w:p>
    <w:p w14:paraId="1C181C02">
      <w:pPr>
        <w:spacing w:before="0" w:after="60" w:line="380" w:lineRule="exact"/>
      </w:pPr>
      <w:r>
        <w:rPr>
          <w:rFonts w:ascii="Times New Roman" w:hAnsi="Times New Roman" w:eastAsia="仿宋" w:cs="Times New Roman"/>
          <w:b w:val="0"/>
          <w:sz w:val="22"/>
        </w:rPr>
        <w:t>5. 各评审因素按评分标准据实打分，分值取至小数点后一位；凡响应文件出现负偏离或不满足实质性要求的，作无效响应处理。</w:t>
      </w:r>
    </w:p>
    <w:p w14:paraId="726DFF1A">
      <w:pPr>
        <w:keepNext/>
        <w:spacing w:before="160" w:after="80" w:line="440" w:lineRule="exact"/>
      </w:pPr>
      <w:r>
        <w:rPr>
          <w:rFonts w:ascii="Times New Roman" w:hAnsi="Times New Roman" w:eastAsia="黑体" w:cs="Times New Roman"/>
          <w:b/>
          <w:sz w:val="28"/>
        </w:rPr>
        <w:t>二、评分因素及标准</w:t>
      </w:r>
    </w:p>
    <w:tbl>
      <w:tblPr>
        <w:tblStyle w:val="3"/>
        <w:tblW w:w="895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871"/>
        <w:gridCol w:w="737"/>
        <w:gridCol w:w="5556"/>
      </w:tblGrid>
      <w:tr w14:paraId="2B90C3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shd w:val="clear" w:color="auto" w:fill="D9D9D9"/>
            <w:noWrap w:val="0"/>
            <w:vAlign w:val="center"/>
          </w:tcPr>
          <w:p w14:paraId="4D787B06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21"/>
              </w:rPr>
              <w:t>序号</w:t>
            </w:r>
          </w:p>
        </w:tc>
        <w:tc>
          <w:tcPr>
            <w:tcW w:w="1871" w:type="dxa"/>
            <w:shd w:val="clear" w:color="auto" w:fill="D9D9D9"/>
            <w:noWrap w:val="0"/>
            <w:vAlign w:val="center"/>
          </w:tcPr>
          <w:p w14:paraId="243AEB47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21"/>
              </w:rPr>
              <w:t>评审因素</w:t>
            </w:r>
          </w:p>
        </w:tc>
        <w:tc>
          <w:tcPr>
            <w:tcW w:w="737" w:type="dxa"/>
            <w:shd w:val="clear" w:color="auto" w:fill="D9D9D9"/>
            <w:noWrap w:val="0"/>
            <w:vAlign w:val="center"/>
          </w:tcPr>
          <w:p w14:paraId="3EA9FE08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21"/>
              </w:rPr>
              <w:t>分值</w:t>
            </w:r>
          </w:p>
        </w:tc>
        <w:tc>
          <w:tcPr>
            <w:tcW w:w="5556" w:type="dxa"/>
            <w:shd w:val="clear" w:color="auto" w:fill="D9D9D9"/>
            <w:noWrap w:val="0"/>
            <w:vAlign w:val="center"/>
          </w:tcPr>
          <w:p w14:paraId="27F2A967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21"/>
              </w:rPr>
              <w:t>评分标准</w:t>
            </w:r>
          </w:p>
        </w:tc>
      </w:tr>
      <w:tr w14:paraId="13D896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1D19218A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1</w:t>
            </w:r>
          </w:p>
        </w:tc>
        <w:tc>
          <w:tcPr>
            <w:tcW w:w="1871" w:type="dxa"/>
            <w:noWrap w:val="0"/>
            <w:vAlign w:val="center"/>
          </w:tcPr>
          <w:p w14:paraId="573BE4DE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检测报价</w:t>
            </w:r>
          </w:p>
        </w:tc>
        <w:tc>
          <w:tcPr>
            <w:tcW w:w="737" w:type="dxa"/>
            <w:noWrap w:val="0"/>
            <w:vAlign w:val="center"/>
          </w:tcPr>
          <w:p w14:paraId="2FF96219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30</w:t>
            </w:r>
          </w:p>
        </w:tc>
        <w:tc>
          <w:tcPr>
            <w:tcW w:w="5556" w:type="dxa"/>
            <w:noWrap w:val="0"/>
            <w:vAlign w:val="center"/>
          </w:tcPr>
          <w:p w14:paraId="070D76E3">
            <w:pPr>
              <w:spacing w:before="20" w:after="20" w:line="300" w:lineRule="exact"/>
              <w:jc w:val="left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采用低价优先法。满足磋商要求且报价最低的为评审基准价，得满分30分；其他供应商价格分＝（评审基准价÷该供应商报价）×30。报价超最高限价作无效响应。</w:t>
            </w:r>
          </w:p>
        </w:tc>
      </w:tr>
      <w:tr w14:paraId="4406EF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shd w:val="clear" w:color="auto" w:fill="auto"/>
            <w:noWrap w:val="0"/>
            <w:vAlign w:val="center"/>
          </w:tcPr>
          <w:p w14:paraId="03D69AE1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2</w:t>
            </w:r>
          </w:p>
        </w:tc>
        <w:tc>
          <w:tcPr>
            <w:tcW w:w="1871" w:type="dxa"/>
            <w:shd w:val="clear" w:color="auto" w:fill="F2F2F2"/>
            <w:noWrap w:val="0"/>
            <w:vAlign w:val="center"/>
          </w:tcPr>
          <w:p w14:paraId="1627C570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检测能力与方案（合计40分）</w:t>
            </w:r>
          </w:p>
        </w:tc>
        <w:tc>
          <w:tcPr>
            <w:tcW w:w="737" w:type="dxa"/>
            <w:noWrap w:val="0"/>
            <w:vAlign w:val="center"/>
          </w:tcPr>
          <w:p w14:paraId="71458DAF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40</w:t>
            </w:r>
          </w:p>
        </w:tc>
        <w:tc>
          <w:tcPr>
            <w:tcW w:w="5556" w:type="dxa"/>
            <w:noWrap w:val="0"/>
            <w:vAlign w:val="center"/>
          </w:tcPr>
          <w:p w14:paraId="0BCFB2A1">
            <w:pPr>
              <w:spacing w:before="20" w:after="20" w:line="300" w:lineRule="exact"/>
              <w:jc w:val="left"/>
            </w:pPr>
          </w:p>
        </w:tc>
      </w:tr>
      <w:tr w14:paraId="022402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32AEF8C9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2.1</w:t>
            </w:r>
          </w:p>
        </w:tc>
        <w:tc>
          <w:tcPr>
            <w:tcW w:w="1871" w:type="dxa"/>
            <w:noWrap w:val="0"/>
            <w:vAlign w:val="center"/>
          </w:tcPr>
          <w:p w14:paraId="60900386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CMA资质覆盖范围</w:t>
            </w:r>
          </w:p>
        </w:tc>
        <w:tc>
          <w:tcPr>
            <w:tcW w:w="737" w:type="dxa"/>
            <w:noWrap w:val="0"/>
            <w:vAlign w:val="center"/>
          </w:tcPr>
          <w:p w14:paraId="5DF7F4E0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10</w:t>
            </w:r>
          </w:p>
        </w:tc>
        <w:tc>
          <w:tcPr>
            <w:tcW w:w="5556" w:type="dxa"/>
            <w:noWrap w:val="0"/>
            <w:vAlign w:val="center"/>
          </w:tcPr>
          <w:p w14:paraId="3922AB23">
            <w:pPr>
              <w:spacing w:before="20" w:after="20" w:line="300" w:lineRule="exact"/>
              <w:jc w:val="left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资质认定（CMA）附表所含水检测参数越齐全，对GB 5749—2022常规43项指标覆盖越完整，得8—10分；覆盖较全得5—7分；覆盖不全得0—4分。</w:t>
            </w:r>
          </w:p>
        </w:tc>
      </w:tr>
      <w:tr w14:paraId="50E317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5A0068C0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2.2</w:t>
            </w:r>
          </w:p>
        </w:tc>
        <w:tc>
          <w:tcPr>
            <w:tcW w:w="1871" w:type="dxa"/>
            <w:noWrap w:val="0"/>
            <w:vAlign w:val="center"/>
          </w:tcPr>
          <w:p w14:paraId="5DFD2C44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采样与检测方案</w:t>
            </w:r>
          </w:p>
        </w:tc>
        <w:tc>
          <w:tcPr>
            <w:tcW w:w="737" w:type="dxa"/>
            <w:noWrap w:val="0"/>
            <w:vAlign w:val="center"/>
          </w:tcPr>
          <w:p w14:paraId="24889948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15</w:t>
            </w:r>
          </w:p>
        </w:tc>
        <w:tc>
          <w:tcPr>
            <w:tcW w:w="5556" w:type="dxa"/>
            <w:noWrap w:val="0"/>
            <w:vAlign w:val="center"/>
          </w:tcPr>
          <w:p w14:paraId="034C7234">
            <w:pPr>
              <w:spacing w:before="20" w:after="20" w:line="300" w:lineRule="exact"/>
              <w:jc w:val="left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采样方案、点位布设合理，检测方法采用现行有效标准，方案完整可行得12—15分；较合理得6—11分；一般得0—5分。</w:t>
            </w:r>
          </w:p>
        </w:tc>
      </w:tr>
      <w:tr w14:paraId="2C6414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3A781D17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2.3</w:t>
            </w:r>
          </w:p>
        </w:tc>
        <w:tc>
          <w:tcPr>
            <w:tcW w:w="1871" w:type="dxa"/>
            <w:noWrap w:val="0"/>
            <w:vAlign w:val="center"/>
          </w:tcPr>
          <w:p w14:paraId="0F5B676D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质量控制措施</w:t>
            </w:r>
          </w:p>
        </w:tc>
        <w:tc>
          <w:tcPr>
            <w:tcW w:w="737" w:type="dxa"/>
            <w:noWrap w:val="0"/>
            <w:vAlign w:val="center"/>
          </w:tcPr>
          <w:p w14:paraId="086B3E65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10</w:t>
            </w:r>
          </w:p>
        </w:tc>
        <w:tc>
          <w:tcPr>
            <w:tcW w:w="5556" w:type="dxa"/>
            <w:noWrap w:val="0"/>
            <w:vAlign w:val="center"/>
          </w:tcPr>
          <w:p w14:paraId="42BCE81C">
            <w:pPr>
              <w:spacing w:before="20" w:after="20" w:line="300" w:lineRule="exact"/>
              <w:jc w:val="left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质控体系健全，留样、平行样、加标回收、仪器检定等措施完善得8—10分；较完善得4—7分；一般得0—3分。</w:t>
            </w:r>
          </w:p>
        </w:tc>
      </w:tr>
      <w:tr w14:paraId="567837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5592B4C2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2.4</w:t>
            </w:r>
          </w:p>
        </w:tc>
        <w:tc>
          <w:tcPr>
            <w:tcW w:w="1871" w:type="dxa"/>
            <w:noWrap w:val="0"/>
            <w:vAlign w:val="center"/>
          </w:tcPr>
          <w:p w14:paraId="71514F2B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人员与设备配置</w:t>
            </w:r>
          </w:p>
        </w:tc>
        <w:tc>
          <w:tcPr>
            <w:tcW w:w="737" w:type="dxa"/>
            <w:noWrap w:val="0"/>
            <w:vAlign w:val="center"/>
          </w:tcPr>
          <w:p w14:paraId="4CE0A289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5</w:t>
            </w:r>
          </w:p>
        </w:tc>
        <w:tc>
          <w:tcPr>
            <w:tcW w:w="5556" w:type="dxa"/>
            <w:noWrap w:val="0"/>
            <w:vAlign w:val="center"/>
          </w:tcPr>
          <w:p w14:paraId="450BC125">
            <w:pPr>
              <w:spacing w:before="20" w:after="20" w:line="300" w:lineRule="exact"/>
              <w:jc w:val="left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检测人员持证上岗、种类数量与仪器设备满足项目需求得4—5分；基本满足得2—3分；勉强满足得0—1分。</w:t>
            </w:r>
          </w:p>
        </w:tc>
      </w:tr>
      <w:tr w14:paraId="46F845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365B6008">
            <w:pPr>
              <w:spacing w:before="20" w:after="20" w:line="300" w:lineRule="exact"/>
              <w:jc w:val="center"/>
              <w:rPr>
                <w:rFonts w:ascii="Times New Roman" w:hAnsi="Times New Roman" w:eastAsia="宋体" w:cs="Times New Roman"/>
                <w:b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3</w:t>
            </w:r>
          </w:p>
        </w:tc>
        <w:tc>
          <w:tcPr>
            <w:tcW w:w="1871" w:type="dxa"/>
            <w:noWrap w:val="0"/>
            <w:vAlign w:val="center"/>
          </w:tcPr>
          <w:p w14:paraId="3E6BC3CD">
            <w:pPr>
              <w:spacing w:before="20" w:after="20" w:line="300" w:lineRule="exact"/>
              <w:jc w:val="center"/>
              <w:rPr>
                <w:rFonts w:ascii="Times New Roman" w:hAnsi="Times New Roman" w:eastAsia="宋体" w:cs="Times New Roman"/>
                <w:b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类似业绩（合计15分）</w:t>
            </w:r>
          </w:p>
        </w:tc>
        <w:tc>
          <w:tcPr>
            <w:tcW w:w="737" w:type="dxa"/>
            <w:noWrap w:val="0"/>
            <w:vAlign w:val="center"/>
          </w:tcPr>
          <w:p w14:paraId="0EDA352B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15</w:t>
            </w:r>
          </w:p>
        </w:tc>
        <w:tc>
          <w:tcPr>
            <w:tcW w:w="5556" w:type="dxa"/>
            <w:noWrap w:val="0"/>
            <w:vAlign w:val="center"/>
          </w:tcPr>
          <w:p w14:paraId="29DF1AE6">
            <w:pPr>
              <w:spacing w:before="20" w:after="20" w:line="300" w:lineRule="exact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0"/>
              </w:rPr>
              <w:t>近三年</w:t>
            </w:r>
            <w:r>
              <w:rPr>
                <w:rFonts w:hint="eastAsia" w:ascii="Times New Roman" w:hAnsi="Times New Roman" w:eastAsia="宋体"/>
                <w:b w:val="0"/>
                <w:sz w:val="20"/>
                <w:lang w:val="en-US" w:eastAsia="zh-CN"/>
              </w:rPr>
              <w:t>供应商</w:t>
            </w:r>
            <w:r>
              <w:rPr>
                <w:rFonts w:ascii="Times New Roman" w:hAnsi="Times New Roman" w:eastAsia="宋体"/>
                <w:b w:val="0"/>
                <w:sz w:val="20"/>
              </w:rPr>
              <w:t>在承接的农村饮水水质检测服务业绩，每提供一份有效合同或中标（成交）</w:t>
            </w:r>
            <w:r>
              <w:rPr>
                <w:rFonts w:hint="eastAsia" w:ascii="Times New Roman" w:hAnsi="Times New Roman" w:eastAsia="宋体"/>
                <w:b w:val="0"/>
                <w:sz w:val="20"/>
                <w:lang w:val="en-US" w:eastAsia="zh-CN"/>
              </w:rPr>
              <w:t>得3分，最高15分</w:t>
            </w:r>
          </w:p>
        </w:tc>
      </w:tr>
      <w:tr w14:paraId="204319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shd w:val="clear" w:color="auto" w:fill="auto"/>
            <w:noWrap w:val="0"/>
            <w:vAlign w:val="center"/>
          </w:tcPr>
          <w:p w14:paraId="6E3EF2D6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4</w:t>
            </w:r>
          </w:p>
        </w:tc>
        <w:tc>
          <w:tcPr>
            <w:tcW w:w="1871" w:type="dxa"/>
            <w:shd w:val="clear" w:color="auto" w:fill="F2F2F2"/>
            <w:noWrap w:val="0"/>
            <w:vAlign w:val="center"/>
          </w:tcPr>
          <w:p w14:paraId="39CE437D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履约与应急保障（合计15分）</w:t>
            </w:r>
          </w:p>
        </w:tc>
        <w:tc>
          <w:tcPr>
            <w:tcW w:w="737" w:type="dxa"/>
            <w:noWrap w:val="0"/>
            <w:vAlign w:val="center"/>
          </w:tcPr>
          <w:p w14:paraId="4B1510E2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15</w:t>
            </w:r>
          </w:p>
        </w:tc>
        <w:tc>
          <w:tcPr>
            <w:tcW w:w="5556" w:type="dxa"/>
            <w:noWrap w:val="0"/>
            <w:vAlign w:val="center"/>
          </w:tcPr>
          <w:p w14:paraId="5213FC39">
            <w:pPr>
              <w:spacing w:before="20" w:after="20" w:line="300" w:lineRule="exact"/>
              <w:jc w:val="left"/>
            </w:pPr>
          </w:p>
        </w:tc>
      </w:tr>
      <w:tr w14:paraId="7F2B17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65BA9FC1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4.1</w:t>
            </w:r>
          </w:p>
        </w:tc>
        <w:tc>
          <w:tcPr>
            <w:tcW w:w="1871" w:type="dxa"/>
            <w:noWrap w:val="0"/>
            <w:vAlign w:val="center"/>
          </w:tcPr>
          <w:p w14:paraId="305BBBA6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进度计划与完成承诺</w:t>
            </w:r>
          </w:p>
        </w:tc>
        <w:tc>
          <w:tcPr>
            <w:tcW w:w="737" w:type="dxa"/>
            <w:noWrap w:val="0"/>
            <w:vAlign w:val="center"/>
          </w:tcPr>
          <w:p w14:paraId="70717FC2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5</w:t>
            </w:r>
          </w:p>
        </w:tc>
        <w:tc>
          <w:tcPr>
            <w:tcW w:w="5556" w:type="dxa"/>
            <w:noWrap w:val="0"/>
            <w:vAlign w:val="center"/>
          </w:tcPr>
          <w:p w14:paraId="68C48F00">
            <w:pPr>
              <w:spacing w:before="20" w:after="20" w:line="300" w:lineRule="exact"/>
              <w:jc w:val="left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进度计划明确、承诺2026年11月底前完成检测且措施可靠得4—5分；较明确得2—3分；一般得0—1分。</w:t>
            </w:r>
          </w:p>
        </w:tc>
      </w:tr>
      <w:tr w14:paraId="507322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0F2F38B0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4.2</w:t>
            </w:r>
          </w:p>
        </w:tc>
        <w:tc>
          <w:tcPr>
            <w:tcW w:w="1871" w:type="dxa"/>
            <w:noWrap w:val="0"/>
            <w:vAlign w:val="center"/>
          </w:tcPr>
          <w:p w14:paraId="63A1B3F1">
            <w:pPr>
              <w:spacing w:before="20" w:after="2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复检与应急检测响应</w:t>
            </w:r>
            <w:r>
              <w:rPr>
                <w:rFonts w:hint="eastAsia" w:ascii="Times New Roman" w:hAnsi="Times New Roman" w:eastAsia="宋体" w:cs="Times New Roman"/>
                <w:b w:val="0"/>
                <w:sz w:val="20"/>
                <w:lang w:val="en-US" w:eastAsia="zh-CN"/>
              </w:rPr>
              <w:t>能力</w:t>
            </w:r>
          </w:p>
        </w:tc>
        <w:tc>
          <w:tcPr>
            <w:tcW w:w="737" w:type="dxa"/>
            <w:noWrap w:val="0"/>
            <w:vAlign w:val="center"/>
          </w:tcPr>
          <w:p w14:paraId="0DA8CF8F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5</w:t>
            </w:r>
          </w:p>
        </w:tc>
        <w:tc>
          <w:tcPr>
            <w:tcW w:w="5556" w:type="dxa"/>
            <w:noWrap w:val="0"/>
            <w:vAlign w:val="center"/>
          </w:tcPr>
          <w:p w14:paraId="4587BD94">
            <w:pPr>
              <w:spacing w:before="20" w:after="20" w:line="300" w:lineRule="exact"/>
              <w:jc w:val="left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复检机制、应急检测响应时限（每镇不少于20处不定期监测响应能力）承诺到位得4—5分；较好得2—3分；一般得0—1分。</w:t>
            </w:r>
          </w:p>
        </w:tc>
      </w:tr>
      <w:tr w14:paraId="4791CF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noWrap w:val="0"/>
            <w:vAlign w:val="center"/>
          </w:tcPr>
          <w:p w14:paraId="1BB6FF95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4.3</w:t>
            </w:r>
          </w:p>
        </w:tc>
        <w:tc>
          <w:tcPr>
            <w:tcW w:w="1871" w:type="dxa"/>
            <w:noWrap w:val="0"/>
            <w:vAlign w:val="center"/>
          </w:tcPr>
          <w:p w14:paraId="3F9578E2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保密、档案与售后服务</w:t>
            </w:r>
          </w:p>
        </w:tc>
        <w:tc>
          <w:tcPr>
            <w:tcW w:w="737" w:type="dxa"/>
            <w:noWrap w:val="0"/>
            <w:vAlign w:val="center"/>
          </w:tcPr>
          <w:p w14:paraId="13698844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5</w:t>
            </w:r>
          </w:p>
        </w:tc>
        <w:tc>
          <w:tcPr>
            <w:tcW w:w="5556" w:type="dxa"/>
            <w:noWrap w:val="0"/>
            <w:vAlign w:val="center"/>
          </w:tcPr>
          <w:p w14:paraId="22763FFA">
            <w:pPr>
              <w:spacing w:before="20" w:after="20" w:line="300" w:lineRule="exact"/>
              <w:jc w:val="left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保密制度、原始记录与档案管理、售后服务承诺完善得4—5分；较好得2—3分；一般得0—1分。</w:t>
            </w:r>
          </w:p>
        </w:tc>
      </w:tr>
      <w:tr w14:paraId="1B4D72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shd w:val="clear" w:color="auto" w:fill="auto"/>
            <w:noWrap w:val="0"/>
            <w:vAlign w:val="center"/>
          </w:tcPr>
          <w:p w14:paraId="502F5B05">
            <w:pPr>
              <w:spacing w:before="20" w:after="20" w:line="300" w:lineRule="exact"/>
              <w:jc w:val="center"/>
            </w:pPr>
          </w:p>
        </w:tc>
        <w:tc>
          <w:tcPr>
            <w:tcW w:w="1871" w:type="dxa"/>
            <w:shd w:val="clear" w:color="auto" w:fill="F2F2F2"/>
            <w:noWrap w:val="0"/>
            <w:vAlign w:val="center"/>
          </w:tcPr>
          <w:p w14:paraId="02FF7B7F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合计</w:t>
            </w:r>
          </w:p>
        </w:tc>
        <w:tc>
          <w:tcPr>
            <w:tcW w:w="737" w:type="dxa"/>
            <w:shd w:val="clear" w:color="auto" w:fill="F2F2F2"/>
            <w:noWrap w:val="0"/>
            <w:vAlign w:val="center"/>
          </w:tcPr>
          <w:p w14:paraId="6059760D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/>
                <w:sz w:val="20"/>
              </w:rPr>
              <w:t>100</w:t>
            </w:r>
          </w:p>
        </w:tc>
        <w:tc>
          <w:tcPr>
            <w:tcW w:w="5556" w:type="dxa"/>
            <w:noWrap w:val="0"/>
            <w:vAlign w:val="center"/>
          </w:tcPr>
          <w:p w14:paraId="3FB3D261">
            <w:pPr>
              <w:spacing w:before="20" w:after="20" w:line="300" w:lineRule="exact"/>
              <w:jc w:val="left"/>
            </w:pPr>
          </w:p>
        </w:tc>
      </w:tr>
    </w:tbl>
    <w:p w14:paraId="722EEBAA">
      <w:pPr>
        <w:keepNext/>
        <w:spacing w:before="200" w:after="80" w:line="440" w:lineRule="exact"/>
      </w:pPr>
      <w:r>
        <w:rPr>
          <w:rFonts w:ascii="Times New Roman" w:hAnsi="Times New Roman" w:eastAsia="黑体" w:cs="Times New Roman"/>
          <w:b/>
          <w:sz w:val="28"/>
        </w:rPr>
        <w:t>三、供应商评分汇总表</w:t>
      </w:r>
    </w:p>
    <w:tbl>
      <w:tblPr>
        <w:tblStyle w:val="3"/>
        <w:tblW w:w="861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814"/>
        <w:gridCol w:w="1020"/>
        <w:gridCol w:w="1360"/>
        <w:gridCol w:w="907"/>
        <w:gridCol w:w="1360"/>
        <w:gridCol w:w="907"/>
        <w:gridCol w:w="623"/>
      </w:tblGrid>
      <w:tr w14:paraId="512564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24" w:type="dxa"/>
            <w:shd w:val="clear" w:color="auto" w:fill="D9D9D9"/>
            <w:noWrap w:val="0"/>
            <w:vAlign w:val="center"/>
          </w:tcPr>
          <w:p w14:paraId="2A7B6205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18"/>
              </w:rPr>
              <w:t>序号</w:t>
            </w:r>
          </w:p>
        </w:tc>
        <w:tc>
          <w:tcPr>
            <w:tcW w:w="1814" w:type="dxa"/>
            <w:shd w:val="clear" w:color="auto" w:fill="D9D9D9"/>
            <w:noWrap w:val="0"/>
            <w:vAlign w:val="center"/>
          </w:tcPr>
          <w:p w14:paraId="1B38AE06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18"/>
              </w:rPr>
              <w:t>供应商名称</w:t>
            </w:r>
          </w:p>
        </w:tc>
        <w:tc>
          <w:tcPr>
            <w:tcW w:w="1020" w:type="dxa"/>
            <w:shd w:val="clear" w:color="auto" w:fill="D9D9D9"/>
            <w:noWrap w:val="0"/>
            <w:vAlign w:val="center"/>
          </w:tcPr>
          <w:p w14:paraId="6455B7E6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18"/>
              </w:rPr>
              <w:t>检测报价(30)</w:t>
            </w:r>
          </w:p>
        </w:tc>
        <w:tc>
          <w:tcPr>
            <w:tcW w:w="1361" w:type="dxa"/>
            <w:shd w:val="clear" w:color="auto" w:fill="D9D9D9"/>
            <w:noWrap w:val="0"/>
            <w:vAlign w:val="center"/>
          </w:tcPr>
          <w:p w14:paraId="15C3BA6F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18"/>
              </w:rPr>
              <w:t>检测能力与方案(40)</w:t>
            </w:r>
          </w:p>
        </w:tc>
        <w:tc>
          <w:tcPr>
            <w:tcW w:w="907" w:type="dxa"/>
            <w:shd w:val="clear" w:color="auto" w:fill="D9D9D9"/>
            <w:noWrap w:val="0"/>
            <w:vAlign w:val="center"/>
          </w:tcPr>
          <w:p w14:paraId="6DBE7207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18"/>
              </w:rPr>
              <w:t>类似业绩(15)</w:t>
            </w:r>
          </w:p>
        </w:tc>
        <w:tc>
          <w:tcPr>
            <w:tcW w:w="1361" w:type="dxa"/>
            <w:shd w:val="clear" w:color="auto" w:fill="D9D9D9"/>
            <w:noWrap w:val="0"/>
            <w:vAlign w:val="center"/>
          </w:tcPr>
          <w:p w14:paraId="184A51D9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18"/>
              </w:rPr>
              <w:t>履约与应急保障(15)</w:t>
            </w:r>
          </w:p>
        </w:tc>
        <w:tc>
          <w:tcPr>
            <w:tcW w:w="907" w:type="dxa"/>
            <w:shd w:val="clear" w:color="auto" w:fill="D9D9D9"/>
            <w:noWrap w:val="0"/>
            <w:vAlign w:val="center"/>
          </w:tcPr>
          <w:p w14:paraId="5785D5F4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18"/>
              </w:rPr>
              <w:t>综合得分</w:t>
            </w:r>
          </w:p>
        </w:tc>
        <w:tc>
          <w:tcPr>
            <w:tcW w:w="624" w:type="dxa"/>
            <w:shd w:val="clear" w:color="auto" w:fill="D9D9D9"/>
            <w:noWrap w:val="0"/>
            <w:vAlign w:val="center"/>
          </w:tcPr>
          <w:p w14:paraId="3FF113C2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sz w:val="18"/>
              </w:rPr>
              <w:t>排序</w:t>
            </w:r>
          </w:p>
        </w:tc>
      </w:tr>
      <w:tr w14:paraId="6EFC83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4" w:type="dxa"/>
            <w:noWrap w:val="0"/>
            <w:vAlign w:val="center"/>
          </w:tcPr>
          <w:p w14:paraId="0B88166B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1</w:t>
            </w:r>
          </w:p>
        </w:tc>
        <w:tc>
          <w:tcPr>
            <w:tcW w:w="1814" w:type="dxa"/>
            <w:noWrap w:val="0"/>
            <w:vAlign w:val="center"/>
          </w:tcPr>
          <w:p w14:paraId="60A8B7EB">
            <w:pPr>
              <w:spacing w:before="20" w:after="20" w:line="300" w:lineRule="exact"/>
              <w:jc w:val="center"/>
            </w:pPr>
          </w:p>
        </w:tc>
        <w:tc>
          <w:tcPr>
            <w:tcW w:w="1020" w:type="dxa"/>
            <w:noWrap w:val="0"/>
            <w:vAlign w:val="center"/>
          </w:tcPr>
          <w:p w14:paraId="21D08058">
            <w:pPr>
              <w:spacing w:before="20" w:after="20" w:line="300" w:lineRule="exact"/>
              <w:jc w:val="center"/>
            </w:pPr>
          </w:p>
        </w:tc>
        <w:tc>
          <w:tcPr>
            <w:tcW w:w="1361" w:type="dxa"/>
            <w:noWrap w:val="0"/>
            <w:vAlign w:val="center"/>
          </w:tcPr>
          <w:p w14:paraId="56CE2FA3">
            <w:pPr>
              <w:spacing w:before="20" w:after="20" w:line="300" w:lineRule="exact"/>
              <w:jc w:val="center"/>
            </w:pPr>
          </w:p>
        </w:tc>
        <w:tc>
          <w:tcPr>
            <w:tcW w:w="907" w:type="dxa"/>
            <w:noWrap w:val="0"/>
            <w:vAlign w:val="center"/>
          </w:tcPr>
          <w:p w14:paraId="0C54E898">
            <w:pPr>
              <w:spacing w:before="20" w:after="20" w:line="300" w:lineRule="exact"/>
              <w:jc w:val="center"/>
            </w:pPr>
          </w:p>
        </w:tc>
        <w:tc>
          <w:tcPr>
            <w:tcW w:w="1361" w:type="dxa"/>
            <w:noWrap w:val="0"/>
            <w:vAlign w:val="center"/>
          </w:tcPr>
          <w:p w14:paraId="0543FD8C">
            <w:pPr>
              <w:spacing w:before="20" w:after="20" w:line="300" w:lineRule="exact"/>
              <w:jc w:val="center"/>
            </w:pPr>
          </w:p>
        </w:tc>
        <w:tc>
          <w:tcPr>
            <w:tcW w:w="907" w:type="dxa"/>
            <w:noWrap w:val="0"/>
            <w:vAlign w:val="center"/>
          </w:tcPr>
          <w:p w14:paraId="16BB66C2">
            <w:pPr>
              <w:spacing w:before="20" w:after="20" w:line="300" w:lineRule="exact"/>
              <w:jc w:val="center"/>
            </w:pPr>
          </w:p>
        </w:tc>
        <w:tc>
          <w:tcPr>
            <w:tcW w:w="624" w:type="dxa"/>
            <w:noWrap w:val="0"/>
            <w:vAlign w:val="center"/>
          </w:tcPr>
          <w:p w14:paraId="298298DC">
            <w:pPr>
              <w:spacing w:before="20" w:after="20" w:line="300" w:lineRule="exact"/>
              <w:jc w:val="center"/>
            </w:pPr>
          </w:p>
        </w:tc>
      </w:tr>
      <w:tr w14:paraId="3F4C68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4" w:type="dxa"/>
            <w:noWrap w:val="0"/>
            <w:vAlign w:val="center"/>
          </w:tcPr>
          <w:p w14:paraId="1640B5DE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2</w:t>
            </w:r>
          </w:p>
        </w:tc>
        <w:tc>
          <w:tcPr>
            <w:tcW w:w="1814" w:type="dxa"/>
            <w:noWrap w:val="0"/>
            <w:vAlign w:val="center"/>
          </w:tcPr>
          <w:p w14:paraId="74FE824A">
            <w:pPr>
              <w:spacing w:before="20" w:after="20" w:line="300" w:lineRule="exact"/>
              <w:jc w:val="center"/>
            </w:pPr>
          </w:p>
        </w:tc>
        <w:tc>
          <w:tcPr>
            <w:tcW w:w="1020" w:type="dxa"/>
            <w:noWrap w:val="0"/>
            <w:vAlign w:val="center"/>
          </w:tcPr>
          <w:p w14:paraId="047050FA">
            <w:pPr>
              <w:spacing w:before="20" w:after="20" w:line="300" w:lineRule="exact"/>
              <w:jc w:val="center"/>
            </w:pPr>
          </w:p>
        </w:tc>
        <w:tc>
          <w:tcPr>
            <w:tcW w:w="1361" w:type="dxa"/>
            <w:noWrap w:val="0"/>
            <w:vAlign w:val="center"/>
          </w:tcPr>
          <w:p w14:paraId="164D573A">
            <w:pPr>
              <w:spacing w:before="20" w:after="20" w:line="300" w:lineRule="exact"/>
              <w:jc w:val="center"/>
            </w:pPr>
          </w:p>
        </w:tc>
        <w:tc>
          <w:tcPr>
            <w:tcW w:w="907" w:type="dxa"/>
            <w:noWrap w:val="0"/>
            <w:vAlign w:val="center"/>
          </w:tcPr>
          <w:p w14:paraId="41C81DC3">
            <w:pPr>
              <w:spacing w:before="20" w:after="20" w:line="300" w:lineRule="exact"/>
              <w:jc w:val="center"/>
            </w:pPr>
          </w:p>
        </w:tc>
        <w:tc>
          <w:tcPr>
            <w:tcW w:w="1361" w:type="dxa"/>
            <w:noWrap w:val="0"/>
            <w:vAlign w:val="center"/>
          </w:tcPr>
          <w:p w14:paraId="66514DF9">
            <w:pPr>
              <w:spacing w:before="20" w:after="20" w:line="300" w:lineRule="exact"/>
              <w:jc w:val="center"/>
            </w:pPr>
          </w:p>
        </w:tc>
        <w:tc>
          <w:tcPr>
            <w:tcW w:w="907" w:type="dxa"/>
            <w:noWrap w:val="0"/>
            <w:vAlign w:val="center"/>
          </w:tcPr>
          <w:p w14:paraId="72A8F1C0">
            <w:pPr>
              <w:spacing w:before="20" w:after="20" w:line="300" w:lineRule="exact"/>
              <w:jc w:val="center"/>
            </w:pPr>
          </w:p>
        </w:tc>
        <w:tc>
          <w:tcPr>
            <w:tcW w:w="624" w:type="dxa"/>
            <w:noWrap w:val="0"/>
            <w:vAlign w:val="center"/>
          </w:tcPr>
          <w:p w14:paraId="5FF0DA0A">
            <w:pPr>
              <w:spacing w:before="20" w:after="20" w:line="300" w:lineRule="exact"/>
              <w:jc w:val="center"/>
            </w:pPr>
          </w:p>
        </w:tc>
      </w:tr>
      <w:tr w14:paraId="7CF614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4" w:type="dxa"/>
            <w:noWrap w:val="0"/>
            <w:vAlign w:val="center"/>
          </w:tcPr>
          <w:p w14:paraId="5034F251">
            <w:pPr>
              <w:spacing w:before="20" w:after="20" w:line="30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sz w:val="20"/>
              </w:rPr>
              <w:t>3</w:t>
            </w:r>
          </w:p>
        </w:tc>
        <w:tc>
          <w:tcPr>
            <w:tcW w:w="1814" w:type="dxa"/>
            <w:noWrap w:val="0"/>
            <w:vAlign w:val="center"/>
          </w:tcPr>
          <w:p w14:paraId="25B40B58">
            <w:pPr>
              <w:spacing w:before="20" w:after="20" w:line="300" w:lineRule="exact"/>
              <w:jc w:val="center"/>
            </w:pPr>
          </w:p>
        </w:tc>
        <w:tc>
          <w:tcPr>
            <w:tcW w:w="1020" w:type="dxa"/>
            <w:noWrap w:val="0"/>
            <w:vAlign w:val="center"/>
          </w:tcPr>
          <w:p w14:paraId="19D61BB7">
            <w:pPr>
              <w:spacing w:before="20" w:after="20" w:line="300" w:lineRule="exact"/>
              <w:jc w:val="center"/>
            </w:pPr>
          </w:p>
        </w:tc>
        <w:tc>
          <w:tcPr>
            <w:tcW w:w="1361" w:type="dxa"/>
            <w:noWrap w:val="0"/>
            <w:vAlign w:val="center"/>
          </w:tcPr>
          <w:p w14:paraId="52389044">
            <w:pPr>
              <w:spacing w:before="20" w:after="20" w:line="300" w:lineRule="exact"/>
              <w:jc w:val="center"/>
            </w:pPr>
          </w:p>
        </w:tc>
        <w:tc>
          <w:tcPr>
            <w:tcW w:w="907" w:type="dxa"/>
            <w:noWrap w:val="0"/>
            <w:vAlign w:val="center"/>
          </w:tcPr>
          <w:p w14:paraId="08CFCF38">
            <w:pPr>
              <w:spacing w:before="20" w:after="20" w:line="300" w:lineRule="exact"/>
              <w:jc w:val="center"/>
            </w:pPr>
          </w:p>
        </w:tc>
        <w:tc>
          <w:tcPr>
            <w:tcW w:w="1361" w:type="dxa"/>
            <w:noWrap w:val="0"/>
            <w:vAlign w:val="center"/>
          </w:tcPr>
          <w:p w14:paraId="36CB6EE1">
            <w:pPr>
              <w:spacing w:before="20" w:after="20" w:line="300" w:lineRule="exact"/>
              <w:jc w:val="center"/>
            </w:pPr>
          </w:p>
        </w:tc>
        <w:tc>
          <w:tcPr>
            <w:tcW w:w="907" w:type="dxa"/>
            <w:noWrap w:val="0"/>
            <w:vAlign w:val="center"/>
          </w:tcPr>
          <w:p w14:paraId="6C564FF1">
            <w:pPr>
              <w:spacing w:before="20" w:after="20" w:line="300" w:lineRule="exact"/>
              <w:jc w:val="center"/>
            </w:pPr>
          </w:p>
        </w:tc>
        <w:tc>
          <w:tcPr>
            <w:tcW w:w="624" w:type="dxa"/>
            <w:noWrap w:val="0"/>
            <w:vAlign w:val="center"/>
          </w:tcPr>
          <w:p w14:paraId="795D8BC6">
            <w:pPr>
              <w:spacing w:before="20" w:after="20" w:line="300" w:lineRule="exact"/>
              <w:jc w:val="center"/>
            </w:pPr>
          </w:p>
        </w:tc>
      </w:tr>
    </w:tbl>
    <w:p w14:paraId="7910AA74">
      <w:pPr>
        <w:keepNext/>
        <w:spacing w:before="200" w:after="80" w:line="440" w:lineRule="exact"/>
      </w:pPr>
      <w:r>
        <w:rPr>
          <w:rFonts w:ascii="Times New Roman" w:hAnsi="Times New Roman" w:eastAsia="黑体" w:cs="Times New Roman"/>
          <w:b/>
          <w:sz w:val="28"/>
        </w:rPr>
        <w:t>四、评审小组签字</w:t>
      </w:r>
    </w:p>
    <w:p w14:paraId="2E96E6A3">
      <w:pPr>
        <w:spacing w:before="40" w:after="40" w:line="440" w:lineRule="exact"/>
      </w:pPr>
      <w:r>
        <w:rPr>
          <w:rFonts w:ascii="Times New Roman" w:hAnsi="Times New Roman" w:eastAsia="仿宋" w:cs="Times New Roman"/>
          <w:b w:val="0"/>
          <w:sz w:val="24"/>
        </w:rPr>
        <w:t>评审意见：</w:t>
      </w:r>
    </w:p>
    <w:p w14:paraId="16354B00">
      <w:pPr>
        <w:spacing w:before="0" w:after="200" w:line="440" w:lineRule="exact"/>
      </w:pPr>
      <w:r>
        <w:rPr>
          <w:rFonts w:ascii="Times New Roman" w:hAnsi="Times New Roman" w:eastAsia="仿宋" w:cs="Times New Roman"/>
          <w:b w:val="0"/>
          <w:sz w:val="24"/>
        </w:rPr>
        <w:t>____________________________________________________________</w:t>
      </w:r>
    </w:p>
    <w:p w14:paraId="796CBEAA">
      <w:pPr>
        <w:spacing w:before="200" w:after="120" w:line="440" w:lineRule="exact"/>
      </w:pPr>
      <w:r>
        <w:rPr>
          <w:rFonts w:ascii="Times New Roman" w:hAnsi="Times New Roman" w:eastAsia="仿宋" w:cs="Times New Roman"/>
          <w:b w:val="0"/>
          <w:sz w:val="24"/>
        </w:rPr>
        <w:t>评审小组成员（签字）：                    日期：____年__月__日</w:t>
      </w:r>
    </w:p>
    <w:p w14:paraId="595F0ED2">
      <w:pPr>
        <w:spacing w:before="0" w:after="120" w:line="440" w:lineRule="exact"/>
      </w:pPr>
      <w:r>
        <w:rPr>
          <w:rFonts w:ascii="Times New Roman" w:hAnsi="Times New Roman" w:eastAsia="仿宋" w:cs="Times New Roman"/>
          <w:b w:val="0"/>
          <w:sz w:val="24"/>
        </w:rPr>
        <w:t>监督/采购人代表（签字）：                  日期：____年__月__日</w:t>
      </w:r>
    </w:p>
    <w:p w14:paraId="4CB342BE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51A25F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2017E">
    <w:pPr>
      <w:pStyle w:val="2"/>
      <w:jc w:val="center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15F1D"/>
    <w:rsid w:val="1EE15F1D"/>
    <w:rsid w:val="7F5F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843</Words>
  <Characters>953</Characters>
  <Lines>0</Lines>
  <Paragraphs>0</Paragraphs>
  <TotalTime>1</TotalTime>
  <ScaleCrop>false</ScaleCrop>
  <LinksUpToDate>false</LinksUpToDate>
  <CharactersWithSpaces>992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2026-10-26T06:13:00Z</dcterms:created>
  <dc:creator>   若到三分薄醉。</dc:creator>
  <cp:lastModifiedBy>   若到三分薄醉。</cp:lastModifiedBy>
  <dcterms:modified xsi:type="dcterms:W3CDTF">2026-10-26T06:20:14Z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FC137D3CFA7849C3B929E77291AD5476_11</vt:lpwstr>
  </property>
  <property fmtid="{D5CDD505-2E9C-101B-9397-08002B2CF9AE}" pid="4" name="KSOTemplateDocerSaveRecord">
    <vt:lpwstr>eyJoZGlkIjoiNzE2NDEzZmY5Njg2YmM1N2ExZDI0ZDA5NGU5YzU3NjYiLCJ1c2VySWQiOiIxOTI3ODkyMDEifQ==</vt:lpwstr>
  </property>
</Properties>
</file>