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8E12A">
      <w:pPr>
        <w:spacing w:before="0" w:after="0" w:line="270" w:lineRule="auto"/>
        <w:jc w:val="left"/>
        <w:rPr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附件2</w:t>
      </w:r>
    </w:p>
    <w:p w14:paraId="32B19EC5">
      <w:pPr>
        <w:spacing w:before="100" w:after="120" w:line="27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评标专家履职考核标准</w:t>
      </w:r>
      <w:bookmarkEnd w:id="0"/>
    </w:p>
    <w:tbl>
      <w:tblPr>
        <w:tblStyle w:val="2"/>
        <w:tblW w:w="13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31"/>
        <w:gridCol w:w="2313"/>
        <w:gridCol w:w="5769"/>
        <w:gridCol w:w="1370"/>
        <w:gridCol w:w="2731"/>
      </w:tblGrid>
      <w:tr w14:paraId="6B20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3" w:hRule="atLeast"/>
          <w:tblHeader/>
          <w:jc w:val="center"/>
        </w:trPr>
        <w:tc>
          <w:tcPr>
            <w:tcW w:w="1331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77F0EB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</w:rPr>
              <w:t>考核等次</w:t>
            </w:r>
          </w:p>
        </w:tc>
        <w:tc>
          <w:tcPr>
            <w:tcW w:w="2313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D8F380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</w:rPr>
              <w:t>考核指标</w:t>
            </w:r>
          </w:p>
        </w:tc>
        <w:tc>
          <w:tcPr>
            <w:tcW w:w="5769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B9AB30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</w:rPr>
              <w:t>考核情形</w:t>
            </w:r>
          </w:p>
        </w:tc>
        <w:tc>
          <w:tcPr>
            <w:tcW w:w="1370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2EFB99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</w:rPr>
              <w:t>考核结果</w:t>
            </w:r>
          </w:p>
        </w:tc>
        <w:tc>
          <w:tcPr>
            <w:tcW w:w="2731" w:type="dxa"/>
            <w:shd w:val="clear" w:color="auto" w:fill="auto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503130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黑体" w:hAnsi="黑体" w:eastAsia="黑体" w:cs="黑体"/>
                <w:b/>
                <w:bCs/>
                <w:color w:val="auto"/>
                <w:sz w:val="21"/>
                <w:szCs w:val="21"/>
                <w:highlight w:val="none"/>
              </w:rPr>
              <w:t>结果运用</w:t>
            </w:r>
          </w:p>
        </w:tc>
      </w:tr>
      <w:tr w14:paraId="04F9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atLeast"/>
          <w:jc w:val="center"/>
        </w:trPr>
        <w:tc>
          <w:tcPr>
            <w:tcW w:w="13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206B5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18B916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7D6964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履职评价累计记分在10分内（不含）的</w:t>
            </w:r>
          </w:p>
        </w:tc>
        <w:tc>
          <w:tcPr>
            <w:tcW w:w="137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517A181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优秀</w:t>
            </w:r>
          </w:p>
        </w:tc>
        <w:tc>
          <w:tcPr>
            <w:tcW w:w="27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44804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不设置抽取间隔期</w:t>
            </w:r>
          </w:p>
        </w:tc>
      </w:tr>
      <w:tr w14:paraId="30BB8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9" w:hRule="atLeast"/>
          <w:jc w:val="center"/>
        </w:trPr>
        <w:tc>
          <w:tcPr>
            <w:tcW w:w="1331" w:type="dxa"/>
            <w:vMerge w:val="continue"/>
          </w:tcPr>
          <w:p w14:paraId="41E14AD2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6AEAF6">
            <w:pPr>
              <w:spacing w:before="0" w:after="0" w:line="270" w:lineRule="auto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抽取响应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A1A6A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抽取响应率70%及以上的</w:t>
            </w:r>
          </w:p>
        </w:tc>
        <w:tc>
          <w:tcPr>
            <w:tcW w:w="1370" w:type="dxa"/>
            <w:vMerge w:val="continue"/>
          </w:tcPr>
          <w:p w14:paraId="1F8181E0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4A9B51A6">
            <w:pPr>
              <w:rPr>
                <w:color w:val="auto"/>
                <w:highlight w:val="none"/>
              </w:rPr>
            </w:pPr>
          </w:p>
        </w:tc>
      </w:tr>
      <w:tr w14:paraId="3D1D7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3" w:hRule="atLeast"/>
          <w:jc w:val="center"/>
        </w:trPr>
        <w:tc>
          <w:tcPr>
            <w:tcW w:w="1331" w:type="dxa"/>
            <w:vMerge w:val="continue"/>
          </w:tcPr>
          <w:p w14:paraId="287DEB0D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7DA074">
            <w:pPr>
              <w:spacing w:before="0" w:after="0" w:line="270" w:lineRule="auto"/>
              <w:jc w:val="left"/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请假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5106BE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年度请假累计不超过90天的</w:t>
            </w:r>
          </w:p>
        </w:tc>
        <w:tc>
          <w:tcPr>
            <w:tcW w:w="1370" w:type="dxa"/>
            <w:vMerge w:val="continue"/>
          </w:tcPr>
          <w:p w14:paraId="0A9BEA49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16D4123B">
            <w:pPr>
              <w:rPr>
                <w:color w:val="auto"/>
                <w:highlight w:val="none"/>
              </w:rPr>
            </w:pPr>
          </w:p>
        </w:tc>
      </w:tr>
      <w:tr w14:paraId="79DF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7" w:hRule="atLeast"/>
          <w:jc w:val="center"/>
        </w:trPr>
        <w:tc>
          <w:tcPr>
            <w:tcW w:w="1331" w:type="dxa"/>
            <w:vMerge w:val="continue"/>
          </w:tcPr>
          <w:p w14:paraId="73CF4BB1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3D27A0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教育培训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121C0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完成年度继续教育培训任务且考试成绩合格的</w:t>
            </w:r>
          </w:p>
        </w:tc>
        <w:tc>
          <w:tcPr>
            <w:tcW w:w="1370" w:type="dxa"/>
            <w:vMerge w:val="continue"/>
          </w:tcPr>
          <w:p w14:paraId="0717F43E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5E889B7B">
            <w:pPr>
              <w:rPr>
                <w:color w:val="auto"/>
                <w:highlight w:val="none"/>
              </w:rPr>
            </w:pPr>
          </w:p>
        </w:tc>
      </w:tr>
      <w:tr w14:paraId="5D204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2" w:hRule="atLeast"/>
          <w:jc w:val="center"/>
        </w:trPr>
        <w:tc>
          <w:tcPr>
            <w:tcW w:w="13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24B19A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569495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10A716F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履职评价累计记分在10分（含）以上、20分内（不含）的</w:t>
            </w:r>
          </w:p>
        </w:tc>
        <w:tc>
          <w:tcPr>
            <w:tcW w:w="137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CC7402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良好</w:t>
            </w:r>
          </w:p>
        </w:tc>
        <w:tc>
          <w:tcPr>
            <w:tcW w:w="27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89E0B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设置7天抽取间隔</w:t>
            </w:r>
          </w:p>
        </w:tc>
      </w:tr>
      <w:tr w14:paraId="0D8AC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3" w:hRule="atLeast"/>
          <w:jc w:val="center"/>
        </w:trPr>
        <w:tc>
          <w:tcPr>
            <w:tcW w:w="1331" w:type="dxa"/>
            <w:vMerge w:val="continue"/>
          </w:tcPr>
          <w:p w14:paraId="3D053940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334374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抽取响应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83F43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抽取响应率30%及以上、低于70%的</w:t>
            </w:r>
          </w:p>
        </w:tc>
        <w:tc>
          <w:tcPr>
            <w:tcW w:w="1370" w:type="dxa"/>
            <w:vMerge w:val="continue"/>
          </w:tcPr>
          <w:p w14:paraId="55BE3F59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7A08E01A">
            <w:pPr>
              <w:rPr>
                <w:color w:val="auto"/>
                <w:highlight w:val="none"/>
              </w:rPr>
            </w:pPr>
          </w:p>
        </w:tc>
      </w:tr>
      <w:tr w14:paraId="1DE14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8" w:hRule="atLeast"/>
          <w:jc w:val="center"/>
        </w:trPr>
        <w:tc>
          <w:tcPr>
            <w:tcW w:w="1331" w:type="dxa"/>
            <w:vMerge w:val="continue"/>
          </w:tcPr>
          <w:p w14:paraId="4000DBC0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7FBD24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请假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E037AF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年度请假累计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超过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90天（含），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不超过120天的</w:t>
            </w:r>
          </w:p>
        </w:tc>
        <w:tc>
          <w:tcPr>
            <w:tcW w:w="1370" w:type="dxa"/>
            <w:vMerge w:val="continue"/>
          </w:tcPr>
          <w:p w14:paraId="7ED80565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05C469F8">
            <w:pPr>
              <w:rPr>
                <w:color w:val="auto"/>
                <w:highlight w:val="none"/>
              </w:rPr>
            </w:pPr>
          </w:p>
        </w:tc>
      </w:tr>
      <w:tr w14:paraId="5AC36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31" w:type="dxa"/>
            <w:vMerge w:val="continue"/>
          </w:tcPr>
          <w:p w14:paraId="134A37B2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43B09A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教育培训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D71C1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完成年度继续教育培训任务且考试成绩合格的</w:t>
            </w:r>
          </w:p>
        </w:tc>
        <w:tc>
          <w:tcPr>
            <w:tcW w:w="1370" w:type="dxa"/>
            <w:vMerge w:val="continue"/>
          </w:tcPr>
          <w:p w14:paraId="32800670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</w:tcPr>
          <w:p w14:paraId="7EFFA1BC">
            <w:pPr>
              <w:rPr>
                <w:color w:val="auto"/>
                <w:highlight w:val="none"/>
              </w:rPr>
            </w:pPr>
          </w:p>
        </w:tc>
      </w:tr>
      <w:tr w14:paraId="7485A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4" w:hRule="atLeast"/>
          <w:jc w:val="center"/>
        </w:trPr>
        <w:tc>
          <w:tcPr>
            <w:tcW w:w="13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32E64D2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89C0FB7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61E6B3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履职评价累计记分在20分（含）以上、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分内（不含）的</w:t>
            </w:r>
          </w:p>
        </w:tc>
        <w:tc>
          <w:tcPr>
            <w:tcW w:w="1370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2F2A7E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合格</w:t>
            </w:r>
          </w:p>
        </w:tc>
        <w:tc>
          <w:tcPr>
            <w:tcW w:w="27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8DB0CE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设置15天抽取间隔</w:t>
            </w:r>
          </w:p>
        </w:tc>
      </w:tr>
      <w:tr w14:paraId="6BD04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31" w:type="dxa"/>
            <w:vMerge w:val="continue"/>
          </w:tcPr>
          <w:p w14:paraId="65D04504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D34F24B">
            <w:pPr>
              <w:spacing w:before="0" w:after="0" w:line="270" w:lineRule="auto"/>
              <w:jc w:val="left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抽取响应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1249F1">
            <w:pPr>
              <w:spacing w:before="0" w:after="0" w:line="270" w:lineRule="auto"/>
              <w:jc w:val="left"/>
              <w:rPr>
                <w:rFonts w:hint="eastAsia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抽取响应率5%及以上、低于30%的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或者抽取响应率低于5%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且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抽取次数10次及以下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的</w:t>
            </w:r>
          </w:p>
        </w:tc>
        <w:tc>
          <w:tcPr>
            <w:tcW w:w="1370" w:type="dxa"/>
            <w:vMerge w:val="continue"/>
          </w:tcPr>
          <w:p w14:paraId="0E53B8EC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0811750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</w:p>
        </w:tc>
      </w:tr>
      <w:tr w14:paraId="78C8D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atLeast"/>
          <w:jc w:val="center"/>
        </w:trPr>
        <w:tc>
          <w:tcPr>
            <w:tcW w:w="1331" w:type="dxa"/>
            <w:vMerge w:val="continue"/>
          </w:tcPr>
          <w:p w14:paraId="657D8FC5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9D6250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请假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74AEE7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年度请假累计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超过120天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（含）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、不超过180天</w:t>
            </w:r>
          </w:p>
        </w:tc>
        <w:tc>
          <w:tcPr>
            <w:tcW w:w="1370" w:type="dxa"/>
            <w:vMerge w:val="continue"/>
          </w:tcPr>
          <w:p w14:paraId="388530CB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FA6228A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</w:p>
        </w:tc>
      </w:tr>
      <w:tr w14:paraId="4DF0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0" w:hRule="atLeast"/>
          <w:jc w:val="center"/>
        </w:trPr>
        <w:tc>
          <w:tcPr>
            <w:tcW w:w="1331" w:type="dxa"/>
            <w:vMerge w:val="continue"/>
          </w:tcPr>
          <w:p w14:paraId="2EB1AF4C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C4196E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教育培训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4EF1F6D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完成年度继续教育培训任务且考试成绩合格的</w:t>
            </w:r>
          </w:p>
        </w:tc>
        <w:tc>
          <w:tcPr>
            <w:tcW w:w="1370" w:type="dxa"/>
            <w:vMerge w:val="continue"/>
          </w:tcPr>
          <w:p w14:paraId="643A9209">
            <w:pPr>
              <w:rPr>
                <w:color w:val="auto"/>
                <w:highlight w:val="none"/>
              </w:rPr>
            </w:pPr>
          </w:p>
        </w:tc>
        <w:tc>
          <w:tcPr>
            <w:tcW w:w="2731" w:type="dxa"/>
            <w:vMerge w:val="continue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151BC58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</w:p>
        </w:tc>
      </w:tr>
      <w:tr w14:paraId="47D4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38344E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72771A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D54665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履职评价累计记分在40分（含）以上的</w:t>
            </w:r>
          </w:p>
        </w:tc>
        <w:tc>
          <w:tcPr>
            <w:tcW w:w="137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4D4D5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2731" w:type="dxa"/>
            <w:vMerge w:val="restart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3C1524">
            <w:pPr>
              <w:spacing w:before="0" w:after="0" w:line="27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予以解聘出库</w:t>
            </w:r>
          </w:p>
        </w:tc>
      </w:tr>
      <w:tr w14:paraId="5D4D7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6" w:hRule="atLeast"/>
          <w:jc w:val="center"/>
        </w:trPr>
        <w:tc>
          <w:tcPr>
            <w:tcW w:w="1331" w:type="dxa"/>
            <w:vMerge w:val="continue"/>
          </w:tcPr>
          <w:p w14:paraId="5920B9C2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04C8CC">
            <w:pPr>
              <w:spacing w:before="0" w:after="0" w:line="270" w:lineRule="auto"/>
              <w:jc w:val="left"/>
              <w:rPr>
                <w:rFonts w:hint="default" w:eastAsia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抽取响应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623AD3">
            <w:pPr>
              <w:spacing w:before="0" w:after="0" w:line="270" w:lineRule="auto"/>
              <w:jc w:val="left"/>
              <w:rPr>
                <w:rFonts w:hint="eastAsia" w:eastAsia="仿宋_GB2312"/>
                <w:color w:val="auto"/>
                <w:highlight w:val="none"/>
                <w:lang w:eastAsia="zh-CN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抽取响应率低于5%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且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抽取次数10次以上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的</w:t>
            </w:r>
          </w:p>
        </w:tc>
        <w:tc>
          <w:tcPr>
            <w:tcW w:w="137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684438C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不合格</w:t>
            </w:r>
          </w:p>
        </w:tc>
        <w:tc>
          <w:tcPr>
            <w:tcW w:w="2731" w:type="dxa"/>
            <w:vMerge w:val="continue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B1B3426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</w:p>
        </w:tc>
      </w:tr>
      <w:tr w14:paraId="50953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6" w:hRule="atLeast"/>
          <w:jc w:val="center"/>
        </w:trPr>
        <w:tc>
          <w:tcPr>
            <w:tcW w:w="1331" w:type="dxa"/>
            <w:vMerge w:val="continue"/>
          </w:tcPr>
          <w:p w14:paraId="0848F29D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F6BFE8">
            <w:pPr>
              <w:spacing w:before="0" w:after="0" w:line="270" w:lineRule="auto"/>
              <w:jc w:val="left"/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请假</w:t>
            </w: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4C52159">
            <w:pPr>
              <w:spacing w:before="0" w:after="0" w:line="270" w:lineRule="auto"/>
              <w:jc w:val="left"/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年度请假累计超过180天的</w:t>
            </w: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（含）</w:t>
            </w:r>
          </w:p>
        </w:tc>
        <w:tc>
          <w:tcPr>
            <w:tcW w:w="137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BBAE63">
            <w:pPr>
              <w:spacing w:before="0" w:after="0" w:line="27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cs="仿宋_GB2312"/>
                <w:b w:val="0"/>
                <w:bCs w:val="0"/>
                <w:color w:val="auto"/>
                <w:sz w:val="21"/>
                <w:szCs w:val="21"/>
                <w:highlight w:val="none"/>
                <w:lang w:eastAsia="zh-CN"/>
              </w:rPr>
              <w:t>不合格</w:t>
            </w:r>
          </w:p>
        </w:tc>
        <w:tc>
          <w:tcPr>
            <w:tcW w:w="2731" w:type="dxa"/>
            <w:vMerge w:val="continue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8BA246">
            <w:pPr>
              <w:spacing w:before="0" w:after="0" w:line="27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F148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331" w:type="dxa"/>
            <w:vMerge w:val="continue"/>
          </w:tcPr>
          <w:p w14:paraId="56C0240A">
            <w:pPr>
              <w:rPr>
                <w:color w:val="auto"/>
                <w:highlight w:val="none"/>
              </w:rPr>
            </w:pPr>
          </w:p>
        </w:tc>
        <w:tc>
          <w:tcPr>
            <w:tcW w:w="2313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D4CEB3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教育培训</w:t>
            </w:r>
          </w:p>
        </w:tc>
        <w:tc>
          <w:tcPr>
            <w:tcW w:w="5769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F01485">
            <w:pPr>
              <w:spacing w:before="0" w:after="0" w:line="270" w:lineRule="auto"/>
              <w:jc w:val="left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未完成年度继续教育培训任务或者考试不合格的</w:t>
            </w:r>
          </w:p>
        </w:tc>
        <w:tc>
          <w:tcPr>
            <w:tcW w:w="137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F1F521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暂不评定等次</w:t>
            </w:r>
          </w:p>
        </w:tc>
        <w:tc>
          <w:tcPr>
            <w:tcW w:w="273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041612">
            <w:pPr>
              <w:spacing w:before="0" w:after="0" w:line="270" w:lineRule="auto"/>
              <w:jc w:val="center"/>
              <w:rPr>
                <w:color w:val="auto"/>
                <w:highlight w:val="none"/>
              </w:rPr>
            </w:pPr>
            <w:r>
              <w:rPr>
                <w:rFonts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</w:rPr>
              <w:t>暂停抽取，次年完成培训任务且考试合格后恢复抽取资格；续聘年份未完成培训任务或者考试不合格的，不予续聘</w:t>
            </w:r>
          </w:p>
        </w:tc>
      </w:tr>
    </w:tbl>
    <w:p w14:paraId="4FD36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0" w:after="0" w:line="380" w:lineRule="exact"/>
        <w:jc w:val="left"/>
        <w:textAlignment w:val="auto"/>
      </w:pPr>
      <w:r>
        <w:rPr>
          <w:rFonts w:ascii="黑体" w:hAnsi="黑体" w:eastAsia="黑体" w:cs="黑体"/>
          <w:b/>
          <w:bCs/>
          <w:sz w:val="21"/>
          <w:szCs w:val="21"/>
        </w:rPr>
        <w:t>备注：</w:t>
      </w:r>
    </w:p>
    <w:p w14:paraId="34CDA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exact"/>
        <w:jc w:val="left"/>
        <w:textAlignment w:val="auto"/>
        <w:rPr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1.履职评价、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val="en-US" w:eastAsia="zh-CN"/>
        </w:rPr>
        <w:t>抽取响应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、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eastAsia="zh-CN"/>
        </w:rPr>
        <w:t>请假情况、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教育培训各项指标分别评定，年度履职考核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eastAsia="zh-CN"/>
        </w:rPr>
        <w:t>结果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按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eastAsia="zh-CN"/>
        </w:rPr>
        <w:t>考核情形中的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最低等次确定。</w:t>
      </w:r>
    </w:p>
    <w:p w14:paraId="2E0EC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exact"/>
        <w:jc w:val="left"/>
        <w:textAlignment w:val="auto"/>
        <w:rPr>
          <w:highlight w:val="none"/>
        </w:rPr>
      </w:pPr>
      <w:r>
        <w:rPr>
          <w:rFonts w:hint="eastAsia" w:cs="仿宋_GB2312"/>
          <w:b w:val="0"/>
          <w:bCs w:val="0"/>
          <w:sz w:val="21"/>
          <w:szCs w:val="21"/>
          <w:highlight w:val="none"/>
          <w:lang w:val="en-US" w:eastAsia="zh-CN"/>
        </w:rPr>
        <w:t>2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.抽取响应率＝</w:t>
      </w:r>
      <w: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年度周期内响应邀约次数／抽中次数×100%。邀约次数和抽中次数包含全省抽取使用数据。</w:t>
      </w:r>
    </w:p>
    <w:p w14:paraId="7D01D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00" w:lineRule="exact"/>
        <w:jc w:val="left"/>
        <w:textAlignment w:val="auto"/>
      </w:pPr>
      <w:r>
        <w:rPr>
          <w:rFonts w:hint="eastAsia" w:cs="仿宋_GB2312"/>
          <w:b w:val="0"/>
          <w:bCs w:val="0"/>
          <w:sz w:val="21"/>
          <w:szCs w:val="21"/>
          <w:highlight w:val="none"/>
          <w:lang w:val="en-US" w:eastAsia="zh-CN"/>
        </w:rPr>
        <w:t>3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.履职评价结果已按本细则第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val="en-US" w:eastAsia="zh-CN"/>
        </w:rPr>
        <w:t>七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条作出暂停抽取决定的，暂停期限按原决定执行，不因年度履职考核</w:t>
      </w:r>
      <w:r>
        <w:rPr>
          <w:rFonts w:hint="eastAsia" w:cs="仿宋_GB2312"/>
          <w:b w:val="0"/>
          <w:bCs w:val="0"/>
          <w:sz w:val="21"/>
          <w:szCs w:val="21"/>
          <w:highlight w:val="none"/>
          <w:lang w:eastAsia="zh-CN"/>
        </w:rPr>
        <w:t>结果</w:t>
      </w:r>
      <w:r>
        <w:rPr>
          <w:rFonts w:ascii="仿宋_GB2312" w:hAnsi="仿宋_GB2312" w:eastAsia="仿宋_GB2312" w:cs="仿宋_GB2312"/>
          <w:b w:val="0"/>
          <w:bCs w:val="0"/>
          <w:sz w:val="21"/>
          <w:szCs w:val="21"/>
          <w:highlight w:val="none"/>
        </w:rPr>
        <w:t>而变更或者终止。</w:t>
      </w:r>
    </w:p>
    <w:p w14:paraId="347BB716"/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016FC"/>
    <w:rsid w:val="0AF1686C"/>
    <w:rsid w:val="1830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2026-10-26T02:54:00Z</dcterms:created>
  <dc:creator>浅痕</dc:creator>
  <cp:lastModifiedBy>浅痕</cp:lastModifiedBy>
  <dcterms:modified xsi:type="dcterms:W3CDTF">2026-10-26T02:55:26Z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D49221C7B64F4D89A3F6710566B098B5_11</vt:lpwstr>
  </property>
  <property fmtid="{D5CDD505-2E9C-101B-9397-08002B2CF9AE}" pid="4" name="KSOTemplateDocerSaveRecord">
    <vt:lpwstr>eyJoZGlkIjoiYTg3MGNiODdlZjFjOGY0MmU5OWQ3MGE4MjU0MmNhNDgiLCJ1c2VySWQiOiIyMzc4MDM2NDcifQ==</vt:lpwstr>
  </property>
</Properties>
</file>